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5" w:hRule="atLeast"/>
        </w:trPr>
        <w:tc>
          <w:tcPr>
            <w:tcW w:w="1558" w:type="dxa"/>
            <w:vMerge w:val="restart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  <w:p>
            <w:pPr>
              <w:pStyle w:val="TableParagraph"/>
              <w:spacing w:before="124"/>
              <w:ind w:left="0"/>
              <w:rPr>
                <w:sz w:val="14"/>
              </w:rPr>
            </w:pPr>
          </w:p>
          <w:p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/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6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  <w:spacing w:before="139"/>
      </w:pPr>
      <w:r>
        <w:rPr>
          <w:spacing w:val="-2"/>
        </w:rPr>
        <w:t>ÎNȘTIINȚARE</w:t>
      </w:r>
    </w:p>
    <w:p>
      <w:pPr>
        <w:spacing w:before="43"/>
        <w:ind w:left="2949" w:right="294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> </w:t>
      </w:r>
      <w:r>
        <w:rPr>
          <w:sz w:val="18"/>
        </w:rPr>
        <w:t>încheierea</w:t>
      </w:r>
      <w:r>
        <w:rPr>
          <w:spacing w:val="14"/>
          <w:sz w:val="18"/>
        </w:rPr>
        <w:t> </w:t>
      </w:r>
      <w:r>
        <w:rPr>
          <w:sz w:val="18"/>
        </w:rPr>
        <w:t>execuției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lucrărilor</w:t>
      </w:r>
    </w:p>
    <w:p>
      <w:pPr>
        <w:spacing w:line="240" w:lineRule="auto" w:before="171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495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199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5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4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line="240" w:lineRule="auto" w:before="4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5453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>
        <w:trPr>
          <w:trHeight w:val="1559" w:hRule="atLeast"/>
        </w:trPr>
        <w:tc>
          <w:tcPr>
            <w:tcW w:w="9349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autorizație: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închid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autorizații,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aceluiași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vor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specifica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fiecare,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mod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distinct.</w:t>
            </w:r>
          </w:p>
          <w:p>
            <w:pPr>
              <w:pStyle w:val="TableParagraph"/>
              <w:numPr>
                <w:ilvl w:val="0"/>
                <w:numId w:val="138"/>
              </w:numPr>
              <w:tabs>
                <w:tab w:pos="308" w:val="left" w:leader="none"/>
              </w:tabs>
              <w:spacing w:line="240" w:lineRule="auto" w:before="6" w:after="0"/>
              <w:ind w:left="308" w:right="0" w:hanging="20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Obiectiv</w:t>
            </w:r>
          </w:p>
          <w:p>
            <w:pPr>
              <w:pStyle w:val="TableParagraph"/>
              <w:numPr>
                <w:ilvl w:val="0"/>
                <w:numId w:val="138"/>
              </w:numPr>
              <w:tabs>
                <w:tab w:pos="308" w:val="left" w:leader="none"/>
              </w:tabs>
              <w:spacing w:line="240" w:lineRule="auto" w:before="122" w:after="0"/>
              <w:ind w:left="308" w:right="0" w:hanging="20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Obiect</w:t>
            </w:r>
          </w:p>
          <w:p>
            <w:pPr>
              <w:pStyle w:val="TableParagraph"/>
              <w:spacing w:line="160" w:lineRule="atLeast" w:before="110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bifează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comunicarea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privind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încheierea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doar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un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obiect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obiectivului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(obiect: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construcție”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distinctă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unui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subiectul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P.V.R.T.L.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construcție”,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HG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273/1994).</w:t>
            </w:r>
          </w:p>
        </w:tc>
      </w:tr>
      <w:tr>
        <w:trPr>
          <w:trHeight w:val="495" w:hRule="atLeast"/>
        </w:trPr>
        <w:tc>
          <w:tcPr>
            <w:tcW w:w="9349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2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4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4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2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2"/>
                <w:sz w:val="14"/>
              </w:rPr>
              <w:t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>
      <w:pPr>
        <w:pStyle w:val="Heading3"/>
        <w:spacing w:before="138"/>
        <w:ind w:left="2948"/>
      </w:pPr>
      <w:r>
        <w:rPr/>
        <w:t>ADUC LA </w:t>
      </w:r>
      <w:r>
        <w:rPr>
          <w:spacing w:val="-2"/>
        </w:rPr>
        <w:t>CUNOȘTINȚĂ</w:t>
      </w:r>
    </w:p>
    <w:p>
      <w:pPr>
        <w:spacing w:line="240" w:lineRule="auto" w:before="7" w:after="1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1558"/>
        <w:gridCol w:w="5453"/>
      </w:tblGrid>
      <w:tr>
        <w:trPr>
          <w:trHeight w:val="500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>
      <w:pPr>
        <w:spacing w:line="240" w:lineRule="auto" w:before="2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39"/>
              </w:numPr>
              <w:tabs>
                <w:tab w:pos="313" w:val="left" w:leader="none"/>
              </w:tabs>
              <w:spacing w:line="181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495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40"/>
              </w:numPr>
              <w:tabs>
                <w:tab w:pos="314" w:val="left" w:leader="none"/>
              </w:tabs>
              <w:spacing w:line="181" w:lineRule="exact" w:before="5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>
      <w:pPr>
        <w:pStyle w:val="TableParagraph"/>
        <w:spacing w:after="0" w:line="181" w:lineRule="exact"/>
        <w:jc w:val="left"/>
        <w:rPr>
          <w:sz w:val="15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0"/>
        <w:rPr>
          <w:b/>
          <w:sz w:val="14"/>
        </w:rPr>
      </w:pPr>
    </w:p>
    <w:p>
      <w:pPr>
        <w:spacing w:line="240" w:lineRule="auto" w:before="137"/>
        <w:rPr>
          <w:b/>
          <w:sz w:val="14"/>
        </w:rPr>
      </w:pPr>
    </w:p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19"/>
      </w:tblGrid>
      <w:tr>
        <w:trPr>
          <w:trHeight w:val="200" w:hRule="atLeast"/>
        </w:trPr>
        <w:tc>
          <w:tcPr>
            <w:tcW w:w="9319" w:type="dxa"/>
            <w:shd w:val="clear" w:color="auto" w:fill="F1F1F1"/>
          </w:tcPr>
          <w:p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INȘTIINȚAREA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ÎNCEPEREA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EXECUȚIEI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>
        <w:trPr>
          <w:trHeight w:val="413" w:hRule="atLeast"/>
        </w:trPr>
        <w:tc>
          <w:tcPr>
            <w:tcW w:w="9319" w:type="dxa"/>
          </w:tcPr>
          <w:p>
            <w:pPr>
              <w:pStyle w:val="TableParagraph"/>
              <w:numPr>
                <w:ilvl w:val="0"/>
                <w:numId w:val="141"/>
              </w:numPr>
              <w:tabs>
                <w:tab w:pos="314" w:val="left" w:leader="none"/>
              </w:tabs>
              <w:spacing w:line="240" w:lineRule="auto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înștiințării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înregistrată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I.S.C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nr.</w:t>
            </w:r>
          </w:p>
          <w:p>
            <w:pPr>
              <w:pStyle w:val="TableParagraph"/>
              <w:numPr>
                <w:ilvl w:val="0"/>
                <w:numId w:val="141"/>
              </w:numPr>
              <w:tabs>
                <w:tab w:pos="312" w:val="left" w:leader="none"/>
              </w:tabs>
              <w:spacing w:line="181" w:lineRule="exact" w:before="7" w:after="0"/>
              <w:ind w:left="312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declar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înștiințarea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depusă.</w:t>
            </w:r>
          </w:p>
        </w:tc>
      </w:tr>
    </w:tbl>
    <w:p>
      <w:pPr>
        <w:spacing w:line="240" w:lineRule="auto" w:before="2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19"/>
      </w:tblGrid>
      <w:tr>
        <w:trPr>
          <w:trHeight w:val="178" w:hRule="atLeast"/>
        </w:trPr>
        <w:tc>
          <w:tcPr>
            <w:tcW w:w="9319" w:type="dxa"/>
            <w:shd w:val="clear" w:color="auto" w:fill="F1F1F1"/>
          </w:tcPr>
          <w:p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3"/>
                <w:sz w:val="15"/>
              </w:rPr>
              <w:t> </w:t>
            </w:r>
            <w:r>
              <w:rPr>
                <w:b/>
                <w:sz w:val="15"/>
              </w:rPr>
              <w:t>VALOAREA</w:t>
            </w:r>
            <w:r>
              <w:rPr>
                <w:b/>
                <w:spacing w:val="15"/>
                <w:sz w:val="15"/>
              </w:rPr>
              <w:t> </w:t>
            </w:r>
            <w:r>
              <w:rPr>
                <w:b/>
                <w:sz w:val="15"/>
              </w:rPr>
              <w:t>REALĂ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14"/>
                <w:sz w:val="15"/>
              </w:rPr>
              <w:t> </w:t>
            </w:r>
            <w:r>
              <w:rPr>
                <w:b/>
                <w:sz w:val="15"/>
              </w:rPr>
              <w:t>LUCRĂRILOR</w:t>
            </w:r>
            <w:r>
              <w:rPr>
                <w:b/>
                <w:spacing w:val="1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EXECUTATE</w:t>
            </w:r>
          </w:p>
        </w:tc>
      </w:tr>
      <w:tr>
        <w:trPr>
          <w:trHeight w:val="502" w:hRule="atLeast"/>
        </w:trPr>
        <w:tc>
          <w:tcPr>
            <w:tcW w:w="9319" w:type="dxa"/>
          </w:tcPr>
          <w:p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(lei)</w:t>
            </w:r>
          </w:p>
          <w:p>
            <w:pPr>
              <w:pStyle w:val="TableParagraph"/>
              <w:spacing w:line="160" w:lineRule="atLeast" w:before="0"/>
              <w:ind w:righ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reală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executate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finală,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valorilor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executate,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2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art.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352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Codul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amenajării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teritoriului,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urbanismului și construcțiilor, în vigoare de la 25.08.2026</w:t>
            </w:r>
          </w:p>
        </w:tc>
      </w:tr>
    </w:tbl>
    <w:p>
      <w:pPr>
        <w:spacing w:line="240" w:lineRule="auto" w:before="4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>
        <w:trPr>
          <w:trHeight w:val="274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42"/>
              </w:numPr>
              <w:tabs>
                <w:tab w:pos="801" w:val="left" w:leader="none"/>
                <w:tab w:pos="803" w:val="left" w:leader="none"/>
              </w:tabs>
              <w:spacing w:line="285" w:lineRule="auto" w:before="5" w:after="0"/>
              <w:ind w:left="803" w:right="85" w:hanging="350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</w:t>
            </w:r>
            <w:r>
              <w:rPr>
                <w:b/>
                <w:color w:val="0D5F78"/>
                <w:w w:val="105"/>
                <w:sz w:val="14"/>
              </w:rPr>
              <w:t> achitării</w:t>
            </w:r>
            <w:r>
              <w:rPr>
                <w:b/>
                <w:color w:val="0D5F78"/>
                <w:w w:val="105"/>
                <w:sz w:val="14"/>
              </w:rPr>
              <w:t> cotei</w:t>
            </w:r>
            <w:r>
              <w:rPr>
                <w:b/>
                <w:color w:val="0D5F78"/>
                <w:w w:val="105"/>
                <w:sz w:val="14"/>
              </w:rPr>
              <w:t> de</w:t>
            </w:r>
            <w:r>
              <w:rPr>
                <w:b/>
                <w:color w:val="0D5F78"/>
                <w:w w:val="105"/>
                <w:sz w:val="14"/>
              </w:rPr>
              <w:t> 0,1%</w:t>
            </w:r>
            <w:r>
              <w:rPr>
                <w:b/>
                <w:color w:val="0D5F78"/>
                <w:w w:val="105"/>
                <w:sz w:val="14"/>
              </w:rPr>
              <w:t> din</w:t>
            </w:r>
            <w:r>
              <w:rPr>
                <w:b/>
                <w:color w:val="0D5F78"/>
                <w:w w:val="105"/>
                <w:sz w:val="14"/>
              </w:rPr>
              <w:t> valoarea</w:t>
            </w:r>
            <w:r>
              <w:rPr>
                <w:b/>
                <w:color w:val="0D5F78"/>
                <w:w w:val="105"/>
                <w:sz w:val="14"/>
              </w:rPr>
              <w:t> lucrărilor</w:t>
            </w:r>
            <w:r>
              <w:rPr>
                <w:b/>
                <w:color w:val="0D5F78"/>
                <w:w w:val="105"/>
                <w:sz w:val="14"/>
              </w:rPr>
              <w:t> autorizate</w:t>
            </w:r>
            <w:r>
              <w:rPr>
                <w:b/>
                <w:color w:val="0D5F78"/>
                <w:w w:val="105"/>
                <w:sz w:val="14"/>
              </w:rPr>
              <w:t> (inclusiv</w:t>
            </w:r>
            <w:r>
              <w:rPr>
                <w:b/>
                <w:color w:val="0D5F78"/>
                <w:w w:val="105"/>
                <w:sz w:val="14"/>
              </w:rPr>
              <w:t> diferențe</w:t>
            </w:r>
            <w:r>
              <w:rPr>
                <w:b/>
                <w:color w:val="0D5F78"/>
                <w:w w:val="105"/>
                <w:sz w:val="14"/>
              </w:rPr>
              <w:t> rezultate</w:t>
            </w:r>
            <w:r>
              <w:rPr>
                <w:b/>
                <w:color w:val="0D5F78"/>
                <w:w w:val="105"/>
                <w:sz w:val="14"/>
              </w:rPr>
              <w:t> ca</w:t>
            </w:r>
            <w:r>
              <w:rPr>
                <w:b/>
                <w:color w:val="0D5F78"/>
                <w:w w:val="105"/>
                <w:sz w:val="14"/>
              </w:rPr>
              <w:t> urmare</w:t>
            </w:r>
            <w:r>
              <w:rPr>
                <w:b/>
                <w:color w:val="0D5F78"/>
                <w:w w:val="105"/>
                <w:sz w:val="14"/>
              </w:rPr>
              <w:t> a</w:t>
            </w:r>
            <w:r>
              <w:rPr>
                <w:b/>
                <w:color w:val="0D5F78"/>
                <w:w w:val="105"/>
                <w:sz w:val="14"/>
              </w:rPr>
              <w:t> actualizării</w:t>
            </w:r>
            <w:r>
              <w:rPr>
                <w:b/>
                <w:color w:val="0D5F78"/>
                <w:w w:val="105"/>
                <w:sz w:val="14"/>
              </w:rPr>
              <w:t> valorii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reale/finale</w:t>
            </w:r>
            <w:r>
              <w:rPr>
                <w:b/>
                <w:color w:val="0D5F78"/>
                <w:w w:val="105"/>
                <w:sz w:val="14"/>
              </w:rPr>
              <w:t> a</w:t>
            </w:r>
            <w:r>
              <w:rPr>
                <w:b/>
                <w:color w:val="0D5F78"/>
                <w:w w:val="105"/>
                <w:sz w:val="14"/>
              </w:rPr>
              <w:t> lucrărilor</w:t>
            </w:r>
            <w:r>
              <w:rPr>
                <w:b/>
                <w:color w:val="0D5F78"/>
                <w:w w:val="105"/>
                <w:sz w:val="14"/>
              </w:rPr>
              <w:t> executate),</w:t>
            </w:r>
            <w:r>
              <w:rPr>
                <w:b/>
                <w:color w:val="0D5F78"/>
                <w:w w:val="105"/>
                <w:sz w:val="14"/>
              </w:rPr>
              <w:t> în</w:t>
            </w:r>
            <w:r>
              <w:rPr>
                <w:b/>
                <w:color w:val="0D5F78"/>
                <w:w w:val="105"/>
                <w:sz w:val="14"/>
              </w:rPr>
              <w:t> conformitate</w:t>
            </w:r>
            <w:r>
              <w:rPr>
                <w:b/>
                <w:color w:val="0D5F78"/>
                <w:w w:val="105"/>
                <w:sz w:val="14"/>
              </w:rPr>
              <w:t> cu</w:t>
            </w:r>
            <w:r>
              <w:rPr>
                <w:b/>
                <w:color w:val="0D5F78"/>
                <w:w w:val="105"/>
                <w:sz w:val="14"/>
              </w:rPr>
              <w:t> prevederile</w:t>
            </w:r>
            <w:r>
              <w:rPr>
                <w:b/>
                <w:color w:val="0D5F78"/>
                <w:w w:val="105"/>
                <w:sz w:val="14"/>
              </w:rPr>
              <w:t> art.143</w:t>
            </w:r>
            <w:r>
              <w:rPr>
                <w:b/>
                <w:color w:val="0D5F78"/>
                <w:w w:val="105"/>
                <w:sz w:val="14"/>
              </w:rPr>
              <w:t> din</w:t>
            </w:r>
            <w:r>
              <w:rPr>
                <w:b/>
                <w:color w:val="0D5F78"/>
                <w:w w:val="105"/>
                <w:sz w:val="14"/>
              </w:rPr>
              <w:t> Codul</w:t>
            </w:r>
            <w:r>
              <w:rPr>
                <w:b/>
                <w:color w:val="0D5F78"/>
                <w:w w:val="105"/>
                <w:sz w:val="14"/>
              </w:rPr>
              <w:t> amenajării</w:t>
            </w:r>
            <w:r>
              <w:rPr>
                <w:b/>
                <w:color w:val="0D5F78"/>
                <w:w w:val="105"/>
                <w:sz w:val="14"/>
              </w:rPr>
              <w:t> teritoriului,</w:t>
            </w:r>
            <w:r>
              <w:rPr>
                <w:b/>
                <w:color w:val="0D5F78"/>
                <w:w w:val="105"/>
                <w:sz w:val="14"/>
              </w:rPr>
              <w:t> urbanismului</w:t>
            </w:r>
            <w:r>
              <w:rPr>
                <w:b/>
                <w:color w:val="0D5F78"/>
                <w:w w:val="105"/>
                <w:sz w:val="14"/>
              </w:rPr>
              <w:t> și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construcțiilor, în vigoare de la 25.08.2026.</w:t>
            </w:r>
          </w:p>
          <w:p>
            <w:pPr>
              <w:pStyle w:val="TableParagraph"/>
              <w:spacing w:before="3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  <w:p>
            <w:pPr>
              <w:pStyle w:val="TableParagraph"/>
              <w:numPr>
                <w:ilvl w:val="0"/>
                <w:numId w:val="142"/>
              </w:numPr>
              <w:tabs>
                <w:tab w:pos="801" w:val="left" w:leader="none"/>
                <w:tab w:pos="803" w:val="left" w:leader="none"/>
              </w:tabs>
              <w:spacing w:line="285" w:lineRule="auto" w:before="6" w:after="0"/>
              <w:ind w:left="803" w:right="87" w:hanging="350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</w:t>
            </w:r>
            <w:r>
              <w:rPr>
                <w:b/>
                <w:color w:val="0D5F78"/>
                <w:w w:val="105"/>
                <w:sz w:val="14"/>
              </w:rPr>
              <w:t> achitării</w:t>
            </w:r>
            <w:r>
              <w:rPr>
                <w:b/>
                <w:color w:val="0D5F78"/>
                <w:w w:val="105"/>
                <w:sz w:val="14"/>
              </w:rPr>
              <w:t> sumei</w:t>
            </w:r>
            <w:r>
              <w:rPr>
                <w:b/>
                <w:color w:val="0D5F78"/>
                <w:w w:val="105"/>
                <w:sz w:val="14"/>
              </w:rPr>
              <w:t> rezultate</w:t>
            </w:r>
            <w:r>
              <w:rPr>
                <w:b/>
                <w:color w:val="0D5F78"/>
                <w:w w:val="105"/>
                <w:sz w:val="14"/>
              </w:rPr>
              <w:t> ca</w:t>
            </w:r>
            <w:r>
              <w:rPr>
                <w:b/>
                <w:color w:val="0D5F78"/>
                <w:w w:val="105"/>
                <w:sz w:val="14"/>
              </w:rPr>
              <w:t> diferență</w:t>
            </w:r>
            <w:r>
              <w:rPr>
                <w:b/>
                <w:color w:val="0D5F78"/>
                <w:w w:val="105"/>
                <w:sz w:val="14"/>
              </w:rPr>
              <w:t> între</w:t>
            </w:r>
            <w:r>
              <w:rPr>
                <w:b/>
                <w:color w:val="0D5F78"/>
                <w:w w:val="105"/>
                <w:sz w:val="14"/>
              </w:rPr>
              <w:t> suma</w:t>
            </w:r>
            <w:r>
              <w:rPr>
                <w:b/>
                <w:color w:val="0D5F78"/>
                <w:w w:val="105"/>
                <w:sz w:val="14"/>
              </w:rPr>
              <w:t> echivalentă</w:t>
            </w:r>
            <w:r>
              <w:rPr>
                <w:b/>
                <w:color w:val="0D5F78"/>
                <w:w w:val="105"/>
                <w:sz w:val="14"/>
              </w:rPr>
              <w:t> cotei</w:t>
            </w:r>
            <w:r>
              <w:rPr>
                <w:b/>
                <w:color w:val="0D5F78"/>
                <w:w w:val="105"/>
                <w:sz w:val="14"/>
              </w:rPr>
              <w:t> de</w:t>
            </w:r>
            <w:r>
              <w:rPr>
                <w:b/>
                <w:color w:val="0D5F78"/>
                <w:w w:val="105"/>
                <w:sz w:val="14"/>
              </w:rPr>
              <w:t> 0,5%</w:t>
            </w:r>
            <w:r>
              <w:rPr>
                <w:b/>
                <w:color w:val="0D5F78"/>
                <w:w w:val="105"/>
                <w:sz w:val="14"/>
              </w:rPr>
              <w:t> aplicate</w:t>
            </w:r>
            <w:r>
              <w:rPr>
                <w:b/>
                <w:color w:val="0D5F78"/>
                <w:w w:val="105"/>
                <w:sz w:val="14"/>
              </w:rPr>
              <w:t> valorii</w:t>
            </w:r>
            <w:r>
              <w:rPr>
                <w:b/>
                <w:color w:val="0D5F78"/>
                <w:w w:val="105"/>
                <w:sz w:val="14"/>
              </w:rPr>
              <w:t> finale,</w:t>
            </w:r>
            <w:r>
              <w:rPr>
                <w:b/>
                <w:color w:val="0D5F78"/>
                <w:w w:val="105"/>
                <w:sz w:val="14"/>
              </w:rPr>
              <w:t> fără</w:t>
            </w:r>
            <w:r>
              <w:rPr>
                <w:b/>
                <w:color w:val="0D5F78"/>
                <w:w w:val="105"/>
                <w:sz w:val="14"/>
              </w:rPr>
              <w:t> TVA,</w:t>
            </w:r>
            <w:r>
              <w:rPr>
                <w:b/>
                <w:color w:val="0D5F78"/>
                <w:w w:val="105"/>
                <w:sz w:val="14"/>
              </w:rPr>
              <w:t> a</w:t>
            </w:r>
            <w:r>
              <w:rPr>
                <w:b/>
                <w:color w:val="0D5F78"/>
                <w:w w:val="105"/>
                <w:sz w:val="14"/>
              </w:rPr>
              <w:t> lucrărilor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executate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suma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virată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potrivit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prevederilor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352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din Codul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amenajării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teritoriului,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urbanismului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construcțiilor,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vigoare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25.08.2026</w:t>
            </w:r>
          </w:p>
          <w:p>
            <w:pPr>
              <w:pStyle w:val="TableParagraph"/>
              <w:spacing w:before="32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>
            <w:pPr>
              <w:pStyle w:val="TableParagraph"/>
              <w:numPr>
                <w:ilvl w:val="0"/>
                <w:numId w:val="142"/>
              </w:numPr>
              <w:tabs>
                <w:tab w:pos="801" w:val="left" w:leader="none"/>
                <w:tab w:pos="803" w:val="left" w:leader="none"/>
              </w:tabs>
              <w:spacing w:line="285" w:lineRule="auto" w:before="7" w:after="0"/>
              <w:ind w:left="803" w:right="88" w:hanging="350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 de identitate, cartea de identitate provizorie sau, după caz, buletinul de identitate, aflate în termen de valabilitate, a titularului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autorizației</w:t>
            </w:r>
            <w:r>
              <w:rPr>
                <w:b/>
                <w:color w:val="0D5F78"/>
                <w:w w:val="105"/>
                <w:sz w:val="14"/>
              </w:rPr>
              <w:t> de</w:t>
            </w:r>
            <w:r>
              <w:rPr>
                <w:b/>
                <w:color w:val="0D5F78"/>
                <w:w w:val="105"/>
                <w:sz w:val="14"/>
              </w:rPr>
              <w:t> construire/desființare</w:t>
            </w:r>
            <w:r>
              <w:rPr>
                <w:b/>
                <w:color w:val="0D5F78"/>
                <w:w w:val="105"/>
                <w:sz w:val="14"/>
              </w:rPr>
              <w:t> pentru</w:t>
            </w:r>
            <w:r>
              <w:rPr>
                <w:b/>
                <w:color w:val="0D5F78"/>
                <w:w w:val="105"/>
                <w:sz w:val="14"/>
              </w:rPr>
              <w:t> persoane</w:t>
            </w:r>
            <w:r>
              <w:rPr>
                <w:b/>
                <w:color w:val="0D5F78"/>
                <w:w w:val="105"/>
                <w:sz w:val="14"/>
              </w:rPr>
              <w:t> fizice,</w:t>
            </w:r>
            <w:r>
              <w:rPr>
                <w:b/>
                <w:color w:val="0D5F78"/>
                <w:w w:val="105"/>
                <w:sz w:val="14"/>
              </w:rPr>
              <w:t> respectiv</w:t>
            </w:r>
            <w:r>
              <w:rPr>
                <w:b/>
                <w:color w:val="0D5F78"/>
                <w:w w:val="105"/>
                <w:sz w:val="14"/>
              </w:rPr>
              <w:t> certificatul</w:t>
            </w:r>
            <w:r>
              <w:rPr>
                <w:b/>
                <w:color w:val="0D5F78"/>
                <w:w w:val="105"/>
                <w:sz w:val="14"/>
              </w:rPr>
              <w:t> de</w:t>
            </w:r>
            <w:r>
              <w:rPr>
                <w:b/>
                <w:color w:val="0D5F78"/>
                <w:w w:val="105"/>
                <w:sz w:val="14"/>
              </w:rPr>
              <w:t> înregistrare</w:t>
            </w:r>
            <w:r>
              <w:rPr>
                <w:b/>
                <w:color w:val="0D5F78"/>
                <w:w w:val="105"/>
                <w:sz w:val="14"/>
              </w:rPr>
              <w:t> fiscală,</w:t>
            </w:r>
            <w:r>
              <w:rPr>
                <w:b/>
                <w:color w:val="0D5F78"/>
                <w:w w:val="105"/>
                <w:sz w:val="14"/>
              </w:rPr>
              <w:t> pentru</w:t>
            </w:r>
            <w:r>
              <w:rPr>
                <w:b/>
                <w:color w:val="0D5F78"/>
                <w:w w:val="105"/>
                <w:sz w:val="14"/>
              </w:rPr>
              <w:t> persoanele</w:t>
            </w:r>
            <w:r>
              <w:rPr>
                <w:b/>
                <w:color w:val="0D5F78"/>
                <w:w w:val="105"/>
                <w:sz w:val="14"/>
              </w:rPr>
              <w:t> juridice.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Fără dovada identității titularului nu se va înregistra formularul F_A_11.</w:t>
            </w:r>
          </w:p>
          <w:p>
            <w:pPr>
              <w:pStyle w:val="TableParagraph"/>
              <w:spacing w:before="31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>
            <w:pPr>
              <w:pStyle w:val="TableParagraph"/>
              <w:numPr>
                <w:ilvl w:val="0"/>
                <w:numId w:val="142"/>
              </w:numPr>
              <w:tabs>
                <w:tab w:pos="801" w:val="left" w:leader="none"/>
              </w:tabs>
              <w:spacing w:line="240" w:lineRule="auto" w:before="7" w:after="0"/>
              <w:ind w:left="801" w:right="0" w:hanging="34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Adresa/Declarația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privind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reală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executate,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eliberată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emitentul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autorizației.</w:t>
            </w:r>
          </w:p>
          <w:p>
            <w:pPr>
              <w:pStyle w:val="TableParagraph"/>
              <w:spacing w:before="6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7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>
        <w:trPr>
          <w:trHeight w:val="3403" w:hRule="atLeast"/>
        </w:trPr>
        <w:tc>
          <w:tcPr>
            <w:tcW w:w="9348" w:type="dxa"/>
          </w:tcPr>
          <w:p>
            <w:pPr>
              <w:pStyle w:val="TableParagraph"/>
              <w:spacing w:before="12"/>
              <w:ind w:left="0"/>
              <w:rPr>
                <w:sz w:val="14"/>
              </w:rPr>
            </w:pP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2" w:val="left" w:leader="none"/>
              </w:tabs>
              <w:spacing w:line="240" w:lineRule="auto" w:before="0" w:after="0"/>
              <w:ind w:left="412" w:right="0" w:hanging="171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3" w:val="left" w:leader="none"/>
              </w:tabs>
              <w:spacing w:line="240" w:lineRule="auto" w:before="6" w:after="0"/>
              <w:ind w:left="413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3" w:val="left" w:leader="none"/>
              </w:tabs>
              <w:spacing w:line="240" w:lineRule="auto" w:before="8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Saligny)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3" w:val="left" w:leader="none"/>
              </w:tabs>
              <w:spacing w:line="240" w:lineRule="auto" w:before="6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Rurală)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3" w:val="left" w:leader="none"/>
              </w:tabs>
              <w:spacing w:line="240" w:lineRule="auto" w:before="7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> </w:t>
            </w:r>
            <w:r>
              <w:rPr>
                <w:spacing w:val="-2"/>
                <w:sz w:val="15"/>
              </w:rPr>
              <w:t>Regional)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3" w:val="left" w:leader="none"/>
              </w:tabs>
              <w:spacing w:line="240" w:lineRule="auto" w:before="8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> </w:t>
            </w:r>
            <w:r>
              <w:rPr>
                <w:spacing w:val="-2"/>
                <w:sz w:val="15"/>
              </w:rPr>
              <w:t>Mare)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3" w:val="left" w:leader="none"/>
              </w:tabs>
              <w:spacing w:line="240" w:lineRule="auto" w:before="6" w:after="0"/>
              <w:ind w:left="413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3" w:val="left" w:leader="none"/>
              </w:tabs>
              <w:spacing w:line="240" w:lineRule="auto" w:before="7" w:after="0"/>
              <w:ind w:left="413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necessitate)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3" w:val="left" w:leader="none"/>
              </w:tabs>
              <w:spacing w:line="240" w:lineRule="auto" w:before="7" w:after="0"/>
              <w:ind w:left="413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locuințe)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4" w:val="left" w:leader="none"/>
              </w:tabs>
              <w:spacing w:line="240" w:lineRule="auto" w:before="7" w:after="0"/>
              <w:ind w:left="414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consolidarea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> </w:t>
            </w:r>
            <w:r>
              <w:rPr>
                <w:spacing w:val="-2"/>
                <w:sz w:val="15"/>
              </w:rPr>
              <w:t>Cantacuzino”)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4" w:val="left" w:leader="none"/>
              </w:tabs>
              <w:spacing w:line="240" w:lineRule="auto" w:before="7" w:after="0"/>
              <w:ind w:left="4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4" w:val="left" w:leader="none"/>
              </w:tabs>
              <w:spacing w:line="240" w:lineRule="auto" w:before="7" w:after="0"/>
              <w:ind w:left="4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4" w:val="left" w:leader="none"/>
              </w:tabs>
              <w:spacing w:line="240" w:lineRule="auto" w:before="7" w:after="0"/>
              <w:ind w:left="4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>
            <w:pPr>
              <w:pStyle w:val="TableParagraph"/>
              <w:numPr>
                <w:ilvl w:val="0"/>
                <w:numId w:val="143"/>
              </w:numPr>
              <w:tabs>
                <w:tab w:pos="414" w:val="left" w:leader="none"/>
              </w:tabs>
              <w:spacing w:line="240" w:lineRule="auto" w:before="8" w:after="0"/>
              <w:ind w:left="4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>
            <w:pPr>
              <w:pStyle w:val="TableParagraph"/>
              <w:tabs>
                <w:tab w:pos="2634" w:val="left" w:leader="none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3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F_A_11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