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0"/>
        <w:ind w:left="1133" w:right="0" w:firstLine="0"/>
        <w:jc w:val="left"/>
        <w:rPr>
          <w:sz w:val="14"/>
        </w:rPr>
      </w:pPr>
      <w:r>
        <w:rPr>
          <w:color w:val="585858"/>
          <w:spacing w:val="-2"/>
          <w:w w:val="105"/>
          <w:sz w:val="14"/>
        </w:rPr>
        <w:t>F_A_09</w:t>
      </w:r>
      <w:r>
        <w:rPr>
          <w:color w:val="585858"/>
          <w:spacing w:val="1"/>
          <w:w w:val="105"/>
          <w:sz w:val="14"/>
        </w:rPr>
        <w:t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> </w:t>
      </w:r>
      <w:r>
        <w:rPr>
          <w:color w:val="585858"/>
          <w:spacing w:val="-5"/>
          <w:w w:val="105"/>
          <w:sz w:val="14"/>
        </w:rPr>
        <w:t>1.0</w:t>
      </w:r>
    </w:p>
    <w:p>
      <w:pPr>
        <w:spacing w:line="240" w:lineRule="auto" w:before="7" w:after="0"/>
        <w:rPr>
          <w:sz w:val="14"/>
        </w:rPr>
      </w:pPr>
    </w:p>
    <w:tbl>
      <w:tblPr>
        <w:tblW w:w="0" w:type="auto"/>
        <w:jc w:val="left"/>
        <w:tblInd w:w="114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9"/>
        <w:gridCol w:w="2337"/>
        <w:gridCol w:w="2338"/>
        <w:gridCol w:w="3116"/>
      </w:tblGrid>
      <w:tr>
        <w:trPr>
          <w:trHeight w:val="495" w:hRule="atLeast"/>
        </w:trPr>
        <w:tc>
          <w:tcPr>
            <w:tcW w:w="1559" w:type="dxa"/>
            <w:vMerge w:val="restart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  <w:p>
            <w:pPr>
              <w:pStyle w:val="TableParagraph"/>
              <w:spacing w:before="124"/>
              <w:ind w:left="0"/>
              <w:rPr>
                <w:sz w:val="14"/>
              </w:rPr>
            </w:pPr>
          </w:p>
          <w:p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siglă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/stemă</w:t>
            </w:r>
          </w:p>
        </w:tc>
        <w:tc>
          <w:tcPr>
            <w:tcW w:w="7791" w:type="dxa"/>
            <w:gridSpan w:val="3"/>
            <w:shd w:val="clear" w:color="auto" w:fill="EFEFEF"/>
          </w:tcPr>
          <w:p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</w:tr>
      <w:tr>
        <w:trPr>
          <w:trHeight w:val="494" w:hRule="atLeast"/>
        </w:trPr>
        <w:tc>
          <w:tcPr>
            <w:tcW w:w="15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91" w:type="dxa"/>
            <w:gridSpan w:val="3"/>
            <w:shd w:val="clear" w:color="auto" w:fill="EFEFEF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Inspectoratul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Stat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Construcții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–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Inspectoratul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Teritorial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Construcții</w:t>
            </w:r>
          </w:p>
        </w:tc>
      </w:tr>
      <w:tr>
        <w:trPr>
          <w:trHeight w:val="502" w:hRule="atLeast"/>
        </w:trPr>
        <w:tc>
          <w:tcPr>
            <w:tcW w:w="15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37" w:type="dxa"/>
            <w:shd w:val="clear" w:color="auto" w:fill="EFEFEF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</w:tc>
        <w:tc>
          <w:tcPr>
            <w:tcW w:w="5454" w:type="dxa"/>
            <w:gridSpan w:val="2"/>
            <w:shd w:val="clear" w:color="auto" w:fill="EFEFEF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</w:t>
            </w:r>
          </w:p>
        </w:tc>
      </w:tr>
      <w:tr>
        <w:trPr>
          <w:trHeight w:val="494" w:hRule="atLeast"/>
        </w:trPr>
        <w:tc>
          <w:tcPr>
            <w:tcW w:w="15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75" w:type="dxa"/>
            <w:gridSpan w:val="2"/>
            <w:shd w:val="clear" w:color="auto" w:fill="EFEFEF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>
        <w:trPr>
          <w:trHeight w:val="166" w:hRule="atLeast"/>
        </w:trPr>
        <w:tc>
          <w:tcPr>
            <w:tcW w:w="9350" w:type="dxa"/>
            <w:gridSpan w:val="4"/>
            <w:shd w:val="clear" w:color="auto" w:fill="EFEFEF"/>
          </w:tcPr>
          <w:p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>
      <w:pPr>
        <w:pStyle w:val="Heading3"/>
      </w:pPr>
      <w:r>
        <w:rPr>
          <w:spacing w:val="-2"/>
        </w:rPr>
        <w:t>ÎNȘTIINȚARE</w:t>
      </w:r>
    </w:p>
    <w:p>
      <w:pPr>
        <w:spacing w:before="43"/>
        <w:ind w:left="2949" w:right="2949" w:firstLine="0"/>
        <w:jc w:val="center"/>
        <w:rPr>
          <w:sz w:val="18"/>
        </w:rPr>
      </w:pPr>
      <w:r>
        <w:rPr>
          <w:sz w:val="18"/>
        </w:rPr>
        <w:t>privind</w:t>
      </w:r>
      <w:r>
        <w:rPr>
          <w:spacing w:val="14"/>
          <w:sz w:val="18"/>
        </w:rPr>
        <w:t> </w:t>
      </w:r>
      <w:r>
        <w:rPr>
          <w:sz w:val="18"/>
        </w:rPr>
        <w:t>începerea</w:t>
      </w:r>
      <w:r>
        <w:rPr>
          <w:spacing w:val="13"/>
          <w:sz w:val="18"/>
        </w:rPr>
        <w:t> </w:t>
      </w:r>
      <w:r>
        <w:rPr>
          <w:sz w:val="18"/>
        </w:rPr>
        <w:t>execuției</w:t>
      </w:r>
      <w:r>
        <w:rPr>
          <w:spacing w:val="14"/>
          <w:sz w:val="18"/>
        </w:rPr>
        <w:t> </w:t>
      </w:r>
      <w:r>
        <w:rPr>
          <w:spacing w:val="-2"/>
          <w:sz w:val="18"/>
        </w:rPr>
        <w:t>lucrărilor</w:t>
      </w:r>
    </w:p>
    <w:p>
      <w:pPr>
        <w:spacing w:line="240" w:lineRule="auto" w:before="62" w:after="1"/>
        <w:rPr>
          <w:sz w:val="20"/>
        </w:rPr>
      </w:pPr>
    </w:p>
    <w:tbl>
      <w:tblPr>
        <w:tblW w:w="0" w:type="auto"/>
        <w:jc w:val="left"/>
        <w:tblInd w:w="114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0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>
        <w:trPr>
          <w:trHeight w:val="494" w:hRule="atLeast"/>
        </w:trPr>
        <w:tc>
          <w:tcPr>
            <w:tcW w:w="9348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>
        <w:trPr>
          <w:trHeight w:val="158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39" w:lineRule="exact" w:before="0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adresată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conducerea</w:t>
            </w:r>
            <w:r>
              <w:rPr>
                <w:spacing w:val="-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Inspectoratului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Teritorial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Construcții</w:t>
            </w:r>
          </w:p>
        </w:tc>
      </w:tr>
    </w:tbl>
    <w:p>
      <w:pPr>
        <w:spacing w:line="240" w:lineRule="auto" w:before="3" w:after="0"/>
        <w:rPr>
          <w:sz w:val="10"/>
        </w:rPr>
      </w:pPr>
    </w:p>
    <w:tbl>
      <w:tblPr>
        <w:tblW w:w="0" w:type="auto"/>
        <w:jc w:val="left"/>
        <w:tblInd w:w="114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9"/>
        <w:gridCol w:w="1557"/>
        <w:gridCol w:w="779"/>
        <w:gridCol w:w="779"/>
        <w:gridCol w:w="779"/>
        <w:gridCol w:w="780"/>
        <w:gridCol w:w="1558"/>
        <w:gridCol w:w="1558"/>
      </w:tblGrid>
      <w:tr>
        <w:trPr>
          <w:trHeight w:val="200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>
        <w:trPr>
          <w:trHeight w:val="493" w:hRule="atLeast"/>
        </w:trPr>
        <w:tc>
          <w:tcPr>
            <w:tcW w:w="5453" w:type="dxa"/>
            <w:gridSpan w:val="5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6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>
        <w:trPr>
          <w:trHeight w:val="178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>
        <w:trPr>
          <w:trHeight w:val="493" w:hRule="atLeast"/>
        </w:trPr>
        <w:tc>
          <w:tcPr>
            <w:tcW w:w="155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7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>
        <w:trPr>
          <w:trHeight w:val="178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>
        <w:trPr>
          <w:trHeight w:val="493" w:hRule="atLeast"/>
        </w:trPr>
        <w:tc>
          <w:tcPr>
            <w:tcW w:w="3116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7" w:type="dxa"/>
            <w:gridSpan w:val="4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>
        <w:trPr>
          <w:trHeight w:val="494" w:hRule="atLeast"/>
        </w:trPr>
        <w:tc>
          <w:tcPr>
            <w:tcW w:w="3116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80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8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>
        <w:trPr>
          <w:trHeight w:val="178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4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>
        <w:trPr>
          <w:trHeight w:val="495" w:hRule="atLeast"/>
        </w:trPr>
        <w:tc>
          <w:tcPr>
            <w:tcW w:w="3895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4" w:type="dxa"/>
            <w:gridSpan w:val="5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>
      <w:pPr>
        <w:spacing w:line="240" w:lineRule="auto" w:before="6" w:after="1"/>
        <w:rPr>
          <w:sz w:val="10"/>
        </w:rPr>
      </w:pPr>
    </w:p>
    <w:tbl>
      <w:tblPr>
        <w:tblW w:w="0" w:type="auto"/>
        <w:jc w:val="left"/>
        <w:tblInd w:w="114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9"/>
        <w:gridCol w:w="2337"/>
        <w:gridCol w:w="5453"/>
      </w:tblGrid>
      <w:tr>
        <w:trPr>
          <w:trHeight w:val="200" w:hRule="atLeast"/>
        </w:trPr>
        <w:tc>
          <w:tcPr>
            <w:tcW w:w="9349" w:type="dxa"/>
            <w:gridSpan w:val="3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11"/>
                <w:sz w:val="15"/>
              </w:rPr>
              <w:t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12"/>
                <w:sz w:val="17"/>
              </w:rPr>
              <w:t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12"/>
                <w:sz w:val="17"/>
              </w:rPr>
              <w:t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10"/>
                <w:sz w:val="17"/>
              </w:rPr>
              <w:t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2"/>
                <w:sz w:val="17"/>
              </w:rPr>
              <w:t> </w:t>
            </w:r>
            <w:r>
              <w:rPr>
                <w:b/>
                <w:sz w:val="17"/>
              </w:rPr>
              <w:t>CONSTRUIRE</w:t>
            </w:r>
            <w:r>
              <w:rPr>
                <w:b/>
                <w:spacing w:val="13"/>
                <w:sz w:val="17"/>
              </w:rPr>
              <w:t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12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DESFIINȚARE</w:t>
            </w:r>
          </w:p>
        </w:tc>
      </w:tr>
      <w:tr>
        <w:trPr>
          <w:trHeight w:val="495" w:hRule="atLeast"/>
        </w:trPr>
        <w:tc>
          <w:tcPr>
            <w:tcW w:w="155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Emisă</w:t>
            </w:r>
            <w:r>
              <w:rPr>
                <w:b/>
                <w:color w:val="0D5F7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  <w:tr>
        <w:trPr>
          <w:trHeight w:val="177" w:hRule="atLeast"/>
        </w:trPr>
        <w:tc>
          <w:tcPr>
            <w:tcW w:w="9349" w:type="dxa"/>
            <w:gridSpan w:val="3"/>
            <w:shd w:val="clear" w:color="auto" w:fill="F4F4F4"/>
          </w:tcPr>
          <w:p>
            <w:pPr>
              <w:pStyle w:val="TableParagraph"/>
              <w:spacing w:line="153" w:lineRule="exact" w:before="4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emisă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executarea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construirea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desființarea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construcțiilor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amenajărilor</w:t>
            </w:r>
          </w:p>
        </w:tc>
      </w:tr>
      <w:tr>
        <w:trPr>
          <w:trHeight w:val="502" w:hRule="atLeast"/>
        </w:trPr>
        <w:tc>
          <w:tcPr>
            <w:tcW w:w="9349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Denumirea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lucrării,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capacitatea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categoria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autorizație</w:t>
            </w:r>
          </w:p>
          <w:p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notează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titlul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din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autorizația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construire</w:t>
            </w:r>
          </w:p>
        </w:tc>
      </w:tr>
      <w:tr>
        <w:trPr>
          <w:trHeight w:val="494" w:hRule="atLeast"/>
        </w:trPr>
        <w:tc>
          <w:tcPr>
            <w:tcW w:w="9349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valoare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  <w:p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sz w:val="14"/>
              </w:rPr>
              <w:t>Valoarea</w:t>
            </w:r>
            <w:r>
              <w:rPr>
                <w:i/>
                <w:color w:val="797979"/>
                <w:spacing w:val="13"/>
                <w:sz w:val="14"/>
              </w:rPr>
              <w:t> </w:t>
            </w:r>
            <w:r>
              <w:rPr>
                <w:i/>
                <w:color w:val="797979"/>
                <w:sz w:val="14"/>
              </w:rPr>
              <w:t>trecută</w:t>
            </w:r>
            <w:r>
              <w:rPr>
                <w:i/>
                <w:color w:val="797979"/>
                <w:spacing w:val="14"/>
                <w:sz w:val="14"/>
              </w:rPr>
              <w:t> </w:t>
            </w:r>
            <w:r>
              <w:rPr>
                <w:i/>
                <w:color w:val="797979"/>
                <w:sz w:val="14"/>
              </w:rPr>
              <w:t>în</w:t>
            </w:r>
            <w:r>
              <w:rPr>
                <w:i/>
                <w:color w:val="797979"/>
                <w:spacing w:val="11"/>
                <w:sz w:val="14"/>
              </w:rPr>
              <w:t> </w:t>
            </w:r>
            <w:r>
              <w:rPr>
                <w:i/>
                <w:color w:val="797979"/>
                <w:sz w:val="14"/>
              </w:rPr>
              <w:t>autorizația</w:t>
            </w:r>
            <w:r>
              <w:rPr>
                <w:i/>
                <w:color w:val="797979"/>
                <w:spacing w:val="10"/>
                <w:sz w:val="14"/>
              </w:rPr>
              <w:t> </w:t>
            </w:r>
            <w:r>
              <w:rPr>
                <w:i/>
                <w:color w:val="797979"/>
                <w:sz w:val="14"/>
              </w:rPr>
              <w:t>de</w:t>
            </w:r>
            <w:r>
              <w:rPr>
                <w:i/>
                <w:color w:val="797979"/>
                <w:spacing w:val="14"/>
                <w:sz w:val="14"/>
              </w:rPr>
              <w:t> </w:t>
            </w:r>
            <w:r>
              <w:rPr>
                <w:i/>
                <w:color w:val="797979"/>
                <w:sz w:val="14"/>
              </w:rPr>
              <w:t>construire/desființare</w:t>
            </w:r>
            <w:r>
              <w:rPr>
                <w:i/>
                <w:color w:val="797979"/>
                <w:spacing w:val="15"/>
                <w:sz w:val="14"/>
              </w:rPr>
              <w:t> </w:t>
            </w:r>
            <w:r>
              <w:rPr>
                <w:i/>
                <w:color w:val="797979"/>
                <w:sz w:val="14"/>
              </w:rPr>
              <w:t>pentru</w:t>
            </w:r>
            <w:r>
              <w:rPr>
                <w:i/>
                <w:color w:val="797979"/>
                <w:spacing w:val="14"/>
                <w:sz w:val="14"/>
              </w:rPr>
              <w:t> </w:t>
            </w:r>
            <w:r>
              <w:rPr>
                <w:i/>
                <w:color w:val="797979"/>
                <w:sz w:val="14"/>
              </w:rPr>
              <w:t>care</w:t>
            </w:r>
            <w:r>
              <w:rPr>
                <w:i/>
                <w:color w:val="797979"/>
                <w:spacing w:val="13"/>
                <w:sz w:val="14"/>
              </w:rPr>
              <w:t> </w:t>
            </w:r>
            <w:r>
              <w:rPr>
                <w:i/>
                <w:color w:val="797979"/>
                <w:sz w:val="14"/>
              </w:rPr>
              <w:t>se</w:t>
            </w:r>
            <w:r>
              <w:rPr>
                <w:i/>
                <w:color w:val="797979"/>
                <w:spacing w:val="14"/>
                <w:sz w:val="14"/>
              </w:rPr>
              <w:t> </w:t>
            </w:r>
            <w:r>
              <w:rPr>
                <w:i/>
                <w:color w:val="797979"/>
                <w:sz w:val="14"/>
              </w:rPr>
              <w:t>anunță</w:t>
            </w:r>
            <w:r>
              <w:rPr>
                <w:i/>
                <w:color w:val="797979"/>
                <w:spacing w:val="11"/>
                <w:sz w:val="14"/>
              </w:rPr>
              <w:t> </w:t>
            </w:r>
            <w:r>
              <w:rPr>
                <w:i/>
                <w:color w:val="797979"/>
                <w:sz w:val="14"/>
              </w:rPr>
              <w:t>încheierea</w:t>
            </w:r>
            <w:r>
              <w:rPr>
                <w:i/>
                <w:color w:val="797979"/>
                <w:spacing w:val="10"/>
                <w:sz w:val="14"/>
              </w:rPr>
              <w:t> </w:t>
            </w:r>
            <w:r>
              <w:rPr>
                <w:i/>
                <w:color w:val="797979"/>
                <w:spacing w:val="-2"/>
                <w:sz w:val="14"/>
              </w:rPr>
              <w:t>lucrărilor</w:t>
            </w:r>
          </w:p>
        </w:tc>
      </w:tr>
    </w:tbl>
    <w:p>
      <w:pPr>
        <w:spacing w:line="240" w:lineRule="auto" w:before="47"/>
        <w:rPr>
          <w:sz w:val="18"/>
        </w:rPr>
      </w:pPr>
    </w:p>
    <w:p>
      <w:pPr>
        <w:pStyle w:val="Heading1"/>
        <w:spacing w:before="1"/>
      </w:pPr>
      <w:r>
        <w:rPr/>
        <w:t>ADUC</w:t>
      </w:r>
      <w:r>
        <w:rPr>
          <w:spacing w:val="-8"/>
        </w:rPr>
        <w:t> </w:t>
      </w:r>
      <w:r>
        <w:rPr/>
        <w:t>LA</w:t>
      </w:r>
      <w:r>
        <w:rPr>
          <w:spacing w:val="-7"/>
        </w:rPr>
        <w:t> </w:t>
      </w:r>
      <w:r>
        <w:rPr>
          <w:spacing w:val="-2"/>
        </w:rPr>
        <w:t>CUNOȘTINȚĂ</w:t>
      </w:r>
    </w:p>
    <w:p>
      <w:pPr>
        <w:spacing w:line="240" w:lineRule="auto" w:before="5" w:after="1"/>
        <w:rPr>
          <w:b/>
          <w:sz w:val="18"/>
        </w:rPr>
      </w:pPr>
    </w:p>
    <w:tbl>
      <w:tblPr>
        <w:tblW w:w="0" w:type="auto"/>
        <w:jc w:val="left"/>
        <w:tblInd w:w="114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8"/>
        <w:gridCol w:w="1558"/>
        <w:gridCol w:w="5453"/>
      </w:tblGrid>
      <w:tr>
        <w:trPr>
          <w:trHeight w:val="502" w:hRule="atLeast"/>
        </w:trPr>
        <w:tc>
          <w:tcPr>
            <w:tcW w:w="2338" w:type="dxa"/>
          </w:tcPr>
          <w:p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Că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  <w:tc>
          <w:tcPr>
            <w:tcW w:w="1558" w:type="dxa"/>
          </w:tcPr>
          <w:p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  <w:tc>
          <w:tcPr>
            <w:tcW w:w="5453" w:type="dxa"/>
          </w:tcPr>
          <w:p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vor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începe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lucrările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construcții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autorizate</w:t>
            </w:r>
          </w:p>
          <w:p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pentru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mai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jos</w:t>
            </w:r>
          </w:p>
        </w:tc>
      </w:tr>
    </w:tbl>
    <w:p>
      <w:pPr>
        <w:spacing w:line="240" w:lineRule="auto" w:before="2" w:after="0"/>
        <w:rPr>
          <w:b/>
          <w:sz w:val="10"/>
        </w:rPr>
      </w:pPr>
    </w:p>
    <w:tbl>
      <w:tblPr>
        <w:tblW w:w="0" w:type="auto"/>
        <w:jc w:val="left"/>
        <w:tblInd w:w="114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9"/>
        <w:gridCol w:w="1557"/>
        <w:gridCol w:w="2336"/>
        <w:gridCol w:w="779"/>
        <w:gridCol w:w="778"/>
        <w:gridCol w:w="2335"/>
      </w:tblGrid>
      <w:tr>
        <w:trPr>
          <w:trHeight w:val="200" w:hRule="atLeast"/>
        </w:trPr>
        <w:tc>
          <w:tcPr>
            <w:tcW w:w="9344" w:type="dxa"/>
            <w:gridSpan w:val="6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>
        <w:trPr>
          <w:trHeight w:val="205" w:hRule="atLeast"/>
        </w:trPr>
        <w:tc>
          <w:tcPr>
            <w:tcW w:w="9344" w:type="dxa"/>
            <w:gridSpan w:val="6"/>
          </w:tcPr>
          <w:p>
            <w:pPr>
              <w:pStyle w:val="TableParagraph"/>
              <w:numPr>
                <w:ilvl w:val="0"/>
                <w:numId w:val="135"/>
              </w:numPr>
              <w:tabs>
                <w:tab w:pos="313" w:val="left" w:leader="none"/>
              </w:tabs>
              <w:spacing w:line="180" w:lineRule="exact" w:before="5" w:after="0"/>
              <w:ind w:left="313" w:right="0" w:hanging="17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>
        <w:trPr>
          <w:trHeight w:val="495" w:hRule="atLeast"/>
        </w:trPr>
        <w:tc>
          <w:tcPr>
            <w:tcW w:w="3116" w:type="dxa"/>
            <w:gridSpan w:val="2"/>
          </w:tcPr>
          <w:p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5" w:type="dxa"/>
            <w:gridSpan w:val="2"/>
          </w:tcPr>
          <w:p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3" w:type="dxa"/>
            <w:gridSpan w:val="2"/>
          </w:tcPr>
          <w:p>
            <w:pPr>
              <w:pStyle w:val="TableParagraph"/>
              <w:spacing w:before="6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>
        <w:trPr>
          <w:trHeight w:val="494" w:hRule="atLeast"/>
        </w:trPr>
        <w:tc>
          <w:tcPr>
            <w:tcW w:w="155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2" w:type="dxa"/>
            <w:gridSpan w:val="3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8" w:type="dxa"/>
          </w:tcPr>
          <w:p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5" w:type="dxa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>
        <w:trPr>
          <w:trHeight w:val="502" w:hRule="atLeast"/>
        </w:trPr>
        <w:tc>
          <w:tcPr>
            <w:tcW w:w="5452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2" w:type="dxa"/>
            <w:gridSpan w:val="3"/>
          </w:tcPr>
          <w:p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>
      <w:pPr>
        <w:spacing w:line="240" w:lineRule="auto" w:before="3" w:after="1"/>
        <w:rPr>
          <w:b/>
          <w:sz w:val="10"/>
        </w:rPr>
      </w:pPr>
    </w:p>
    <w:tbl>
      <w:tblPr>
        <w:tblW w:w="0" w:type="auto"/>
        <w:jc w:val="left"/>
        <w:tblInd w:w="114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199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6" w:lineRule="exact" w:before="4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5.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ANEXEZ</w:t>
            </w:r>
          </w:p>
        </w:tc>
      </w:tr>
      <w:tr>
        <w:trPr>
          <w:trHeight w:val="751" w:hRule="atLeast"/>
        </w:trPr>
        <w:tc>
          <w:tcPr>
            <w:tcW w:w="9348" w:type="dxa"/>
          </w:tcPr>
          <w:p>
            <w:pPr>
              <w:pStyle w:val="TableParagraph"/>
              <w:tabs>
                <w:tab w:pos="803" w:val="left" w:leader="none"/>
              </w:tabs>
              <w:spacing w:line="285" w:lineRule="auto" w:before="6"/>
              <w:ind w:left="803" w:right="192" w:hanging="350"/>
              <w:rPr>
                <w:b/>
                <w:sz w:val="14"/>
              </w:rPr>
            </w:pPr>
            <w:r>
              <w:rPr>
                <w:b/>
                <w:color w:val="0D5F78"/>
                <w:spacing w:val="-6"/>
                <w:sz w:val="14"/>
              </w:rPr>
              <w:t>1.</w:t>
            </w:r>
            <w:r>
              <w:rPr>
                <w:b/>
                <w:color w:val="0D5F78"/>
                <w:sz w:val="14"/>
              </w:rPr>
              <w:tab/>
              <w:t>Dovada achitării cotei de 0,1% din valoarea lucrărilor autorizate, în conformitate cu prevederile art.143 din Codul amenajării teritoriului,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urbanismului și construcțiilor, în vigoare de la 25.08.2026.</w:t>
            </w:r>
          </w:p>
          <w:p>
            <w:pPr>
              <w:pStyle w:val="TableParagraph"/>
              <w:spacing w:before="31"/>
              <w:ind w:left="792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anexează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copie;</w:t>
            </w:r>
          </w:p>
        </w:tc>
      </w:tr>
    </w:tbl>
    <w:p>
      <w:pPr>
        <w:pStyle w:val="TableParagraph"/>
        <w:spacing w:after="0"/>
        <w:rPr>
          <w:i/>
          <w:sz w:val="14"/>
        </w:rPr>
        <w:sectPr>
          <w:pgSz w:w="11900" w:h="16840"/>
          <w:pgMar w:header="211" w:footer="455" w:top="480" w:bottom="640" w:left="141" w:right="141"/>
          <w:pgNumType w:start="32"/>
        </w:sectPr>
      </w:pPr>
    </w:p>
    <w:p>
      <w:pPr>
        <w:spacing w:line="240" w:lineRule="auto" w:before="0"/>
        <w:rPr>
          <w:b/>
          <w:sz w:val="14"/>
        </w:rPr>
      </w:pPr>
    </w:p>
    <w:p>
      <w:pPr>
        <w:spacing w:line="240" w:lineRule="auto" w:before="137"/>
        <w:rPr>
          <w:b/>
          <w:sz w:val="14"/>
        </w:rPr>
      </w:pPr>
    </w:p>
    <w:p>
      <w:pPr>
        <w:spacing w:before="0"/>
        <w:ind w:left="1133" w:right="0" w:firstLine="0"/>
        <w:jc w:val="left"/>
        <w:rPr>
          <w:sz w:val="14"/>
        </w:rPr>
      </w:pPr>
      <w:r>
        <w:rPr>
          <w:color w:val="585858"/>
          <w:spacing w:val="-2"/>
          <w:w w:val="105"/>
          <w:sz w:val="14"/>
        </w:rPr>
        <w:t>F_A_09</w:t>
      </w:r>
      <w:r>
        <w:rPr>
          <w:color w:val="585858"/>
          <w:spacing w:val="1"/>
          <w:w w:val="105"/>
          <w:sz w:val="14"/>
        </w:rPr>
        <w:t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> </w:t>
      </w:r>
      <w:r>
        <w:rPr>
          <w:color w:val="585858"/>
          <w:spacing w:val="-5"/>
          <w:w w:val="105"/>
          <w:sz w:val="14"/>
        </w:rPr>
        <w:t>1.0</w:t>
      </w:r>
    </w:p>
    <w:p>
      <w:pPr>
        <w:spacing w:line="240" w:lineRule="auto" w:before="7" w:after="0"/>
        <w:rPr>
          <w:sz w:val="14"/>
        </w:rPr>
      </w:pPr>
    </w:p>
    <w:tbl>
      <w:tblPr>
        <w:tblW w:w="0" w:type="auto"/>
        <w:jc w:val="left"/>
        <w:tblInd w:w="114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178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53" w:lineRule="exact"/>
              <w:rPr>
                <w:b/>
                <w:sz w:val="15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16"/>
                <w:sz w:val="15"/>
              </w:rPr>
              <w:t> </w:t>
            </w:r>
            <w:r>
              <w:rPr>
                <w:b/>
                <w:sz w:val="15"/>
              </w:rPr>
              <w:t>OBIECTIV</w:t>
            </w:r>
            <w:r>
              <w:rPr>
                <w:b/>
                <w:spacing w:val="19"/>
                <w:sz w:val="15"/>
              </w:rPr>
              <w:t> </w:t>
            </w:r>
            <w:r>
              <w:rPr>
                <w:b/>
                <w:sz w:val="15"/>
              </w:rPr>
              <w:t>FINANȚAT</w:t>
            </w:r>
            <w:r>
              <w:rPr>
                <w:b/>
                <w:spacing w:val="19"/>
                <w:sz w:val="15"/>
              </w:rPr>
              <w:t> </w:t>
            </w:r>
            <w:r>
              <w:rPr>
                <w:b/>
                <w:sz w:val="15"/>
              </w:rPr>
              <w:t>DIN</w:t>
            </w:r>
            <w:r>
              <w:rPr>
                <w:b/>
                <w:spacing w:val="19"/>
                <w:sz w:val="15"/>
              </w:rPr>
              <w:t> </w:t>
            </w:r>
            <w:r>
              <w:rPr>
                <w:b/>
                <w:sz w:val="15"/>
              </w:rPr>
              <w:t>PROGRAME</w:t>
            </w:r>
            <w:r>
              <w:rPr>
                <w:b/>
                <w:spacing w:val="19"/>
                <w:sz w:val="15"/>
              </w:rPr>
              <w:t> </w:t>
            </w:r>
            <w:r>
              <w:rPr>
                <w:b/>
                <w:sz w:val="15"/>
              </w:rPr>
              <w:t>DE</w:t>
            </w:r>
            <w:r>
              <w:rPr>
                <w:b/>
                <w:spacing w:val="18"/>
                <w:sz w:val="15"/>
              </w:rPr>
              <w:t> </w:t>
            </w:r>
            <w:r>
              <w:rPr>
                <w:b/>
                <w:sz w:val="15"/>
              </w:rPr>
              <w:t>INVESTIȚII,</w:t>
            </w:r>
            <w:r>
              <w:rPr>
                <w:b/>
                <w:spacing w:val="16"/>
                <w:sz w:val="15"/>
              </w:rPr>
              <w:t> </w:t>
            </w:r>
            <w:r>
              <w:rPr>
                <w:b/>
                <w:sz w:val="15"/>
              </w:rPr>
              <w:t>DUPĂ</w:t>
            </w:r>
            <w:r>
              <w:rPr>
                <w:b/>
                <w:spacing w:val="17"/>
                <w:sz w:val="15"/>
              </w:rPr>
              <w:t> </w:t>
            </w:r>
            <w:r>
              <w:rPr>
                <w:b/>
                <w:spacing w:val="-5"/>
                <w:sz w:val="15"/>
              </w:rPr>
              <w:t>CAZ</w:t>
            </w:r>
          </w:p>
        </w:tc>
      </w:tr>
      <w:tr>
        <w:trPr>
          <w:trHeight w:val="3403" w:hRule="atLeast"/>
        </w:trPr>
        <w:tc>
          <w:tcPr>
            <w:tcW w:w="9348" w:type="dxa"/>
          </w:tcPr>
          <w:p>
            <w:pPr>
              <w:pStyle w:val="TableParagraph"/>
              <w:spacing w:before="12"/>
              <w:ind w:left="0"/>
              <w:rPr>
                <w:sz w:val="14"/>
              </w:rPr>
            </w:pPr>
          </w:p>
          <w:p>
            <w:pPr>
              <w:pStyle w:val="TableParagraph"/>
              <w:numPr>
                <w:ilvl w:val="0"/>
                <w:numId w:val="136"/>
              </w:numPr>
              <w:tabs>
                <w:tab w:pos="412" w:val="left" w:leader="none"/>
              </w:tabs>
              <w:spacing w:line="240" w:lineRule="auto" w:before="0" w:after="0"/>
              <w:ind w:left="412" w:right="0" w:hanging="171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PNRR</w:t>
            </w:r>
            <w:r>
              <w:rPr>
                <w:spacing w:val="-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(Planul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Național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Redresare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Reziliență)</w:t>
            </w:r>
          </w:p>
          <w:p>
            <w:pPr>
              <w:pStyle w:val="TableParagraph"/>
              <w:numPr>
                <w:ilvl w:val="0"/>
                <w:numId w:val="136"/>
              </w:numPr>
              <w:tabs>
                <w:tab w:pos="413" w:val="left" w:leader="none"/>
              </w:tabs>
              <w:spacing w:line="240" w:lineRule="auto" w:before="7" w:after="0"/>
              <w:ind w:left="413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PNDL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(Planul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Național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Dezvoltare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Locală)</w:t>
            </w:r>
          </w:p>
          <w:p>
            <w:pPr>
              <w:pStyle w:val="TableParagraph"/>
              <w:numPr>
                <w:ilvl w:val="0"/>
                <w:numId w:val="136"/>
              </w:numPr>
              <w:tabs>
                <w:tab w:pos="413" w:val="left" w:leader="none"/>
              </w:tabs>
              <w:spacing w:line="240" w:lineRule="auto" w:before="7" w:after="0"/>
              <w:ind w:left="413" w:right="0" w:hanging="172"/>
              <w:jc w:val="left"/>
              <w:rPr>
                <w:sz w:val="15"/>
              </w:rPr>
            </w:pPr>
            <w:r>
              <w:rPr>
                <w:sz w:val="15"/>
              </w:rPr>
              <w:t>PNIAS</w:t>
            </w:r>
            <w:r>
              <w:rPr>
                <w:spacing w:val="14"/>
                <w:sz w:val="15"/>
              </w:rPr>
              <w:t> </w:t>
            </w:r>
            <w:r>
              <w:rPr>
                <w:sz w:val="15"/>
              </w:rPr>
              <w:t>(Programul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Național</w:t>
            </w:r>
            <w:r>
              <w:rPr>
                <w:spacing w:val="17"/>
                <w:sz w:val="15"/>
              </w:rPr>
              <w:t> </w:t>
            </w:r>
            <w:r>
              <w:rPr>
                <w:sz w:val="15"/>
              </w:rPr>
              <w:t>de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investiții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Anghel</w:t>
            </w:r>
            <w:r>
              <w:rPr>
                <w:spacing w:val="15"/>
                <w:sz w:val="15"/>
              </w:rPr>
              <w:t> </w:t>
            </w:r>
            <w:r>
              <w:rPr>
                <w:spacing w:val="-2"/>
                <w:sz w:val="15"/>
              </w:rPr>
              <w:t>Saligny)</w:t>
            </w:r>
          </w:p>
          <w:p>
            <w:pPr>
              <w:pStyle w:val="TableParagraph"/>
              <w:numPr>
                <w:ilvl w:val="0"/>
                <w:numId w:val="136"/>
              </w:numPr>
              <w:tabs>
                <w:tab w:pos="413" w:val="left" w:leader="none"/>
              </w:tabs>
              <w:spacing w:line="240" w:lineRule="auto" w:before="6" w:after="0"/>
              <w:ind w:left="413" w:right="0" w:hanging="172"/>
              <w:jc w:val="left"/>
              <w:rPr>
                <w:sz w:val="15"/>
              </w:rPr>
            </w:pPr>
            <w:r>
              <w:rPr>
                <w:sz w:val="15"/>
              </w:rPr>
              <w:t>PNDR</w:t>
            </w:r>
            <w:r>
              <w:rPr>
                <w:spacing w:val="17"/>
                <w:sz w:val="15"/>
              </w:rPr>
              <w:t> </w:t>
            </w:r>
            <w:r>
              <w:rPr>
                <w:sz w:val="15"/>
              </w:rPr>
              <w:t>(Programul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Național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de</w:t>
            </w:r>
            <w:r>
              <w:rPr>
                <w:spacing w:val="17"/>
                <w:sz w:val="15"/>
              </w:rPr>
              <w:t> </w:t>
            </w:r>
            <w:r>
              <w:rPr>
                <w:sz w:val="15"/>
              </w:rPr>
              <w:t>Dezvoltare</w:t>
            </w:r>
            <w:r>
              <w:rPr>
                <w:spacing w:val="15"/>
                <w:sz w:val="15"/>
              </w:rPr>
              <w:t> </w:t>
            </w:r>
            <w:r>
              <w:rPr>
                <w:spacing w:val="-2"/>
                <w:sz w:val="15"/>
              </w:rPr>
              <w:t>Rurală)</w:t>
            </w:r>
          </w:p>
          <w:p>
            <w:pPr>
              <w:pStyle w:val="TableParagraph"/>
              <w:numPr>
                <w:ilvl w:val="0"/>
                <w:numId w:val="136"/>
              </w:numPr>
              <w:tabs>
                <w:tab w:pos="413" w:val="left" w:leader="none"/>
              </w:tabs>
              <w:spacing w:line="240" w:lineRule="auto" w:before="8" w:after="0"/>
              <w:ind w:left="413" w:right="0" w:hanging="172"/>
              <w:jc w:val="left"/>
              <w:rPr>
                <w:sz w:val="15"/>
              </w:rPr>
            </w:pPr>
            <w:r>
              <w:rPr>
                <w:sz w:val="15"/>
              </w:rPr>
              <w:t>POR</w:t>
            </w:r>
            <w:r>
              <w:rPr>
                <w:spacing w:val="17"/>
                <w:sz w:val="15"/>
              </w:rPr>
              <w:t> </w:t>
            </w:r>
            <w:r>
              <w:rPr>
                <w:sz w:val="15"/>
              </w:rPr>
              <w:t>(Programul</w:t>
            </w:r>
            <w:r>
              <w:rPr>
                <w:spacing w:val="18"/>
                <w:sz w:val="15"/>
              </w:rPr>
              <w:t> </w:t>
            </w:r>
            <w:r>
              <w:rPr>
                <w:sz w:val="15"/>
              </w:rPr>
              <w:t>Operațional</w:t>
            </w:r>
            <w:r>
              <w:rPr>
                <w:spacing w:val="18"/>
                <w:sz w:val="15"/>
              </w:rPr>
              <w:t> </w:t>
            </w:r>
            <w:r>
              <w:rPr>
                <w:spacing w:val="-2"/>
                <w:sz w:val="15"/>
              </w:rPr>
              <w:t>Regional)</w:t>
            </w:r>
          </w:p>
          <w:p>
            <w:pPr>
              <w:pStyle w:val="TableParagraph"/>
              <w:numPr>
                <w:ilvl w:val="0"/>
                <w:numId w:val="136"/>
              </w:numPr>
              <w:tabs>
                <w:tab w:pos="413" w:val="left" w:leader="none"/>
              </w:tabs>
              <w:spacing w:line="240" w:lineRule="auto" w:before="7" w:after="0"/>
              <w:ind w:left="413" w:right="0" w:hanging="172"/>
              <w:jc w:val="left"/>
              <w:rPr>
                <w:sz w:val="15"/>
              </w:rPr>
            </w:pPr>
            <w:r>
              <w:rPr>
                <w:sz w:val="15"/>
              </w:rPr>
              <w:t>POIM</w:t>
            </w:r>
            <w:r>
              <w:rPr>
                <w:spacing w:val="20"/>
                <w:sz w:val="15"/>
              </w:rPr>
              <w:t> </w:t>
            </w:r>
            <w:r>
              <w:rPr>
                <w:sz w:val="15"/>
              </w:rPr>
              <w:t>(Programul</w:t>
            </w:r>
            <w:r>
              <w:rPr>
                <w:spacing w:val="20"/>
                <w:sz w:val="15"/>
              </w:rPr>
              <w:t> </w:t>
            </w:r>
            <w:r>
              <w:rPr>
                <w:sz w:val="15"/>
              </w:rPr>
              <w:t>Operațional</w:t>
            </w:r>
            <w:r>
              <w:rPr>
                <w:spacing w:val="20"/>
                <w:sz w:val="15"/>
              </w:rPr>
              <w:t> </w:t>
            </w:r>
            <w:r>
              <w:rPr>
                <w:sz w:val="15"/>
              </w:rPr>
              <w:t>Infrastructură</w:t>
            </w:r>
            <w:r>
              <w:rPr>
                <w:spacing w:val="22"/>
                <w:sz w:val="15"/>
              </w:rPr>
              <w:t> </w:t>
            </w:r>
            <w:r>
              <w:rPr>
                <w:spacing w:val="-2"/>
                <w:sz w:val="15"/>
              </w:rPr>
              <w:t>Mare)</w:t>
            </w:r>
          </w:p>
          <w:p>
            <w:pPr>
              <w:pStyle w:val="TableParagraph"/>
              <w:numPr>
                <w:ilvl w:val="0"/>
                <w:numId w:val="136"/>
              </w:numPr>
              <w:tabs>
                <w:tab w:pos="413" w:val="left" w:leader="none"/>
              </w:tabs>
              <w:spacing w:line="240" w:lineRule="auto" w:before="6" w:after="0"/>
              <w:ind w:left="413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PN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CCRSR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(Programul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național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consolidare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clădirilor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risc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seismic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ridicat)</w:t>
            </w:r>
          </w:p>
          <w:p>
            <w:pPr>
              <w:pStyle w:val="TableParagraph"/>
              <w:numPr>
                <w:ilvl w:val="0"/>
                <w:numId w:val="136"/>
              </w:numPr>
              <w:tabs>
                <w:tab w:pos="413" w:val="left" w:leader="none"/>
              </w:tabs>
              <w:spacing w:line="240" w:lineRule="auto" w:before="8" w:after="0"/>
              <w:ind w:left="413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PCLSCN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(Programul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locuințe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sociale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necesitate)</w:t>
            </w:r>
          </w:p>
          <w:p>
            <w:pPr>
              <w:pStyle w:val="TableParagraph"/>
              <w:numPr>
                <w:ilvl w:val="0"/>
                <w:numId w:val="136"/>
              </w:numPr>
              <w:tabs>
                <w:tab w:pos="413" w:val="left" w:leader="none"/>
              </w:tabs>
              <w:spacing w:line="240" w:lineRule="auto" w:before="7" w:after="0"/>
              <w:ind w:left="413" w:right="0" w:hanging="172"/>
              <w:jc w:val="left"/>
              <w:rPr>
                <w:sz w:val="15"/>
              </w:rPr>
            </w:pPr>
            <w:r>
              <w:rPr>
                <w:sz w:val="15"/>
              </w:rPr>
              <w:t>PN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PEC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(Programul</w:t>
            </w:r>
            <w:r>
              <w:rPr>
                <w:spacing w:val="14"/>
                <w:sz w:val="15"/>
              </w:rPr>
              <w:t> </w:t>
            </w:r>
            <w:r>
              <w:rPr>
                <w:sz w:val="15"/>
              </w:rPr>
              <w:t>național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multianual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privind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creșterea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performanței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energetice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a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blocurilor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de</w:t>
            </w:r>
            <w:r>
              <w:rPr>
                <w:spacing w:val="15"/>
                <w:sz w:val="15"/>
              </w:rPr>
              <w:t> </w:t>
            </w:r>
            <w:r>
              <w:rPr>
                <w:spacing w:val="-2"/>
                <w:sz w:val="15"/>
              </w:rPr>
              <w:t>locuințe)</w:t>
            </w:r>
          </w:p>
          <w:p>
            <w:pPr>
              <w:pStyle w:val="TableParagraph"/>
              <w:numPr>
                <w:ilvl w:val="0"/>
                <w:numId w:val="136"/>
              </w:numPr>
              <w:tabs>
                <w:tab w:pos="414" w:val="left" w:leader="none"/>
              </w:tabs>
              <w:spacing w:line="240" w:lineRule="auto" w:before="6" w:after="0"/>
              <w:ind w:left="414" w:right="0" w:hanging="172"/>
              <w:jc w:val="left"/>
              <w:rPr>
                <w:sz w:val="15"/>
              </w:rPr>
            </w:pPr>
            <w:r>
              <w:rPr>
                <w:sz w:val="15"/>
              </w:rPr>
              <w:t>PNI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Mihail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Cantacuzino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(Programul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național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de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investiții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pentru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consolidarea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spitalelor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„Mihail</w:t>
            </w:r>
            <w:r>
              <w:rPr>
                <w:spacing w:val="16"/>
                <w:sz w:val="15"/>
              </w:rPr>
              <w:t> </w:t>
            </w:r>
            <w:r>
              <w:rPr>
                <w:spacing w:val="-2"/>
                <w:sz w:val="15"/>
              </w:rPr>
              <w:t>Cantacuzino”)</w:t>
            </w:r>
          </w:p>
          <w:p>
            <w:pPr>
              <w:pStyle w:val="TableParagraph"/>
              <w:numPr>
                <w:ilvl w:val="0"/>
                <w:numId w:val="136"/>
              </w:numPr>
              <w:tabs>
                <w:tab w:pos="414" w:val="left" w:leader="none"/>
              </w:tabs>
              <w:spacing w:line="240" w:lineRule="auto" w:before="8" w:after="0"/>
              <w:ind w:left="4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CNI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–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MDLPA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Program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Național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Interes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Public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Social</w:t>
            </w:r>
          </w:p>
          <w:p>
            <w:pPr>
              <w:pStyle w:val="TableParagraph"/>
              <w:numPr>
                <w:ilvl w:val="0"/>
                <w:numId w:val="136"/>
              </w:numPr>
              <w:tabs>
                <w:tab w:pos="414" w:val="left" w:leader="none"/>
              </w:tabs>
              <w:spacing w:line="240" w:lineRule="auto" w:before="6" w:after="0"/>
              <w:ind w:left="4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ANL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–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MDLPA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Programe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locuințe</w:t>
            </w:r>
          </w:p>
          <w:p>
            <w:pPr>
              <w:pStyle w:val="TableParagraph"/>
              <w:numPr>
                <w:ilvl w:val="0"/>
                <w:numId w:val="136"/>
              </w:numPr>
              <w:tabs>
                <w:tab w:pos="414" w:val="left" w:leader="none"/>
              </w:tabs>
              <w:spacing w:line="240" w:lineRule="auto" w:before="7" w:after="0"/>
              <w:ind w:left="4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CNAIR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–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Ministerul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Transporturilor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Infrastructurii</w:t>
            </w:r>
          </w:p>
          <w:p>
            <w:pPr>
              <w:pStyle w:val="TableParagraph"/>
              <w:numPr>
                <w:ilvl w:val="0"/>
                <w:numId w:val="136"/>
              </w:numPr>
              <w:tabs>
                <w:tab w:pos="414" w:val="left" w:leader="none"/>
              </w:tabs>
              <w:spacing w:line="240" w:lineRule="auto" w:before="8" w:after="0"/>
              <w:ind w:left="4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Alt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program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investiții:</w:t>
            </w:r>
          </w:p>
          <w:p>
            <w:pPr>
              <w:pStyle w:val="TableParagraph"/>
              <w:tabs>
                <w:tab w:pos="2634" w:val="left" w:leader="none"/>
              </w:tabs>
              <w:ind w:left="241"/>
              <w:rPr>
                <w:sz w:val="15"/>
              </w:rPr>
            </w:pPr>
            <w:r>
              <w:rPr>
                <w:i/>
                <w:color w:val="797979"/>
                <w:sz w:val="14"/>
              </w:rPr>
              <w:t>Numele</w:t>
            </w:r>
            <w:r>
              <w:rPr>
                <w:i/>
                <w:color w:val="797979"/>
                <w:spacing w:val="13"/>
                <w:sz w:val="14"/>
              </w:rPr>
              <w:t> </w:t>
            </w:r>
            <w:r>
              <w:rPr>
                <w:i/>
                <w:color w:val="797979"/>
                <w:sz w:val="14"/>
              </w:rPr>
              <w:t>programului</w:t>
            </w:r>
            <w:r>
              <w:rPr>
                <w:i/>
                <w:color w:val="797979"/>
                <w:spacing w:val="13"/>
                <w:sz w:val="14"/>
              </w:rPr>
              <w:t> </w:t>
            </w:r>
            <w:r>
              <w:rPr>
                <w:i/>
                <w:color w:val="797979"/>
                <w:sz w:val="14"/>
              </w:rPr>
              <w:t>de</w:t>
            </w:r>
            <w:r>
              <w:rPr>
                <w:i/>
                <w:color w:val="797979"/>
                <w:spacing w:val="14"/>
                <w:sz w:val="14"/>
              </w:rPr>
              <w:t> </w:t>
            </w:r>
            <w:r>
              <w:rPr>
                <w:i/>
                <w:color w:val="797979"/>
                <w:spacing w:val="-2"/>
                <w:sz w:val="14"/>
              </w:rPr>
              <w:t>investiții</w:t>
            </w:r>
            <w:r>
              <w:rPr>
                <w:i/>
                <w:color w:val="797979"/>
                <w:sz w:val="14"/>
              </w:rPr>
              <w:tab/>
            </w:r>
            <w:r>
              <w:rPr>
                <w:spacing w:val="-10"/>
                <w:sz w:val="15"/>
              </w:rPr>
              <w:t>.</w:t>
            </w:r>
          </w:p>
        </w:tc>
      </w:tr>
    </w:tbl>
    <w:p>
      <w:pPr>
        <w:spacing w:line="240" w:lineRule="auto" w:before="2" w:after="1"/>
        <w:rPr>
          <w:sz w:val="10"/>
        </w:rPr>
      </w:pPr>
    </w:p>
    <w:tbl>
      <w:tblPr>
        <w:tblW w:w="0" w:type="auto"/>
        <w:jc w:val="left"/>
        <w:tblInd w:w="114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9"/>
        <w:gridCol w:w="4674"/>
        <w:gridCol w:w="3115"/>
      </w:tblGrid>
      <w:tr>
        <w:trPr>
          <w:trHeight w:val="200" w:hRule="atLeast"/>
        </w:trPr>
        <w:tc>
          <w:tcPr>
            <w:tcW w:w="9348" w:type="dxa"/>
            <w:gridSpan w:val="3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5"/>
                <w:sz w:val="15"/>
              </w:rPr>
              <w:t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>
        <w:trPr>
          <w:trHeight w:val="495" w:hRule="atLeast"/>
        </w:trPr>
        <w:tc>
          <w:tcPr>
            <w:tcW w:w="155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Titularul</w:t>
            </w:r>
            <w:r>
              <w:rPr>
                <w:b/>
                <w:color w:val="0D5F78"/>
                <w:spacing w:val="16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autorizației</w:t>
            </w:r>
          </w:p>
        </w:tc>
        <w:tc>
          <w:tcPr>
            <w:tcW w:w="3115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>
      <w:pPr>
        <w:spacing w:line="240" w:lineRule="auto" w:before="1" w:after="1"/>
        <w:rPr>
          <w:sz w:val="10"/>
        </w:rPr>
      </w:pPr>
    </w:p>
    <w:tbl>
      <w:tblPr>
        <w:tblW w:w="0" w:type="auto"/>
        <w:jc w:val="left"/>
        <w:tblInd w:w="114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318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60" w:lineRule="exact" w:before="0"/>
              <w:rPr>
                <w:sz w:val="14"/>
              </w:rPr>
            </w:pPr>
            <w:r>
              <w:rPr>
                <w:w w:val="105"/>
                <w:sz w:val="14"/>
              </w:rPr>
              <w:t>Formularul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anexează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autorizația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construire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desființare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două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exemplare.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Titularul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autorizației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este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obligat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păstreze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șantier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un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exemplar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al</w:t>
            </w:r>
            <w:r>
              <w:rPr>
                <w:spacing w:val="4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acestei înștiințări, cu numărul și data înregistrării la inspectoratul teritorial în construcții.</w:t>
            </w:r>
          </w:p>
        </w:tc>
      </w:tr>
    </w:tbl>
    <w:p>
      <w:pPr>
        <w:pStyle w:val="TableParagraph"/>
        <w:spacing w:after="0" w:line="160" w:lineRule="exact"/>
        <w:rPr>
          <w:sz w:val="14"/>
        </w:rPr>
      </w:pPr>
    </w:p>
    <w:sectPr>
      <w:pgSz w:w="11900" w:h="16840"/>
      <w:pgMar w:header="211" w:footer="455" w:top="480" w:bottom="640" w:left="141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Arial Black">
    <w:altName w:val="Arial Black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egoe UI Symbol">
    <w:altName w:val="Segoe UI Symbol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3">
    <w:multiLevelType w:val="hybridMultilevel"/>
    <w:lvl w:ilvl="0">
      <w:start w:val="1"/>
      <w:numFmt w:val="decimal"/>
      <w:lvlText w:val="%1."/>
      <w:lvlJc w:val="left"/>
      <w:pPr>
        <w:ind w:left="1831" w:hanging="349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82">
    <w:multiLevelType w:val="hybridMultilevel"/>
    <w:lvl w:ilvl="0">
      <w:start w:val="1"/>
      <w:numFmt w:val="decimal"/>
      <w:lvlText w:val="%1."/>
      <w:lvlJc w:val="left"/>
      <w:pPr>
        <w:ind w:left="1363" w:hanging="231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181">
    <w:multiLevelType w:val="hybridMultilevel"/>
    <w:lvl w:ilvl="0">
      <w:start w:val="2"/>
      <w:numFmt w:val="lowerLetter"/>
      <w:lvlText w:val="%1)"/>
      <w:lvlJc w:val="left"/>
      <w:pPr>
        <w:ind w:left="1133" w:hanging="28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180">
    <w:multiLevelType w:val="hybridMultilevel"/>
    <w:lvl w:ilvl="0">
      <w:start w:val="2"/>
      <w:numFmt w:val="decimal"/>
      <w:lvlText w:val="%1."/>
      <w:lvlJc w:val="left"/>
      <w:pPr>
        <w:ind w:left="1132" w:hanging="218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378" w:hanging="24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79">
    <w:multiLevelType w:val="hybridMultilevel"/>
    <w:lvl w:ilvl="0">
      <w:start w:val="1"/>
      <w:numFmt w:val="decimal"/>
      <w:lvlText w:val="%1."/>
      <w:lvlJc w:val="left"/>
      <w:pPr>
        <w:ind w:left="104" w:hanging="14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17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7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67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6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5">
    <w:multiLevelType w:val="hybridMultilevel"/>
    <w:lvl w:ilvl="0">
      <w:start w:val="0"/>
      <w:numFmt w:val="bullet"/>
      <w:lvlText w:val="☐"/>
      <w:lvlJc w:val="left"/>
      <w:pPr>
        <w:ind w:left="27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6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2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41">
    <w:multiLevelType w:val="hybridMultilevel"/>
    <w:lvl w:ilvl="0">
      <w:start w:val="1"/>
      <w:numFmt w:val="decimal"/>
      <w:lvlText w:val="%1."/>
      <w:lvlJc w:val="left"/>
      <w:pPr>
        <w:ind w:left="803" w:hanging="35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4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3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7">
    <w:multiLevelType w:val="hybridMultilevel"/>
    <w:lvl w:ilvl="0">
      <w:start w:val="0"/>
      <w:numFmt w:val="bullet"/>
      <w:lvlText w:val="☐"/>
      <w:lvlJc w:val="left"/>
      <w:pPr>
        <w:ind w:left="309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3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5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3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3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>
    <w:multiLevelType w:val="hybridMultilevel"/>
    <w:lvl w:ilvl="0">
      <w:start w:val="0"/>
      <w:numFmt w:val="bullet"/>
      <w:lvlText w:val="☐"/>
      <w:lvlJc w:val="left"/>
      <w:pPr>
        <w:ind w:left="404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12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2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8">
    <w:multiLevelType w:val="hybridMultilevel"/>
    <w:lvl w:ilvl="0">
      <w:start w:val="0"/>
      <w:numFmt w:val="bullet"/>
      <w:lvlText w:val="☐"/>
      <w:lvlJc w:val="left"/>
      <w:pPr>
        <w:ind w:left="3366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1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16">
    <w:multiLevelType w:val="hybridMultilevel"/>
    <w:lvl w:ilvl="0">
      <w:start w:val="0"/>
      <w:numFmt w:val="bullet"/>
      <w:lvlText w:val="☐"/>
      <w:lvlJc w:val="left"/>
      <w:pPr>
        <w:ind w:left="27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15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11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1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12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11">
    <w:multiLevelType w:val="hybridMultilevel"/>
    <w:lvl w:ilvl="0">
      <w:start w:val="0"/>
      <w:numFmt w:val="bullet"/>
      <w:lvlText w:val="☐"/>
      <w:lvlJc w:val="left"/>
      <w:pPr>
        <w:ind w:left="340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11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0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8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1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0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5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0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0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1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0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9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8">
    <w:multiLevelType w:val="hybridMultilevel"/>
    <w:lvl w:ilvl="0">
      <w:start w:val="0"/>
      <w:numFmt w:val="bullet"/>
      <w:lvlText w:val="☐"/>
      <w:lvlJc w:val="left"/>
      <w:pPr>
        <w:ind w:left="278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96">
    <w:multiLevelType w:val="hybridMultilevel"/>
    <w:lvl w:ilvl="0">
      <w:start w:val="0"/>
      <w:numFmt w:val="bullet"/>
      <w:lvlText w:val="☐"/>
      <w:lvlJc w:val="left"/>
      <w:pPr>
        <w:ind w:left="33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95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94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9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92">
    <w:multiLevelType w:val="hybridMultilevel"/>
    <w:lvl w:ilvl="0">
      <w:start w:val="0"/>
      <w:numFmt w:val="bullet"/>
      <w:lvlText w:val="☐"/>
      <w:lvlJc w:val="left"/>
      <w:pPr>
        <w:ind w:left="273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91">
    <w:multiLevelType w:val="hybridMultilevel"/>
    <w:lvl w:ilvl="0">
      <w:start w:val="0"/>
      <w:numFmt w:val="bullet"/>
      <w:lvlText w:val="☐"/>
      <w:lvlJc w:val="left"/>
      <w:pPr>
        <w:ind w:left="21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90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8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2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1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6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2">
    <w:multiLevelType w:val="hybridMultilevel"/>
    <w:lvl w:ilvl="0">
      <w:start w:val="0"/>
      <w:numFmt w:val="bullet"/>
      <w:lvlText w:val="☐"/>
      <w:lvlJc w:val="left"/>
      <w:pPr>
        <w:ind w:left="320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9">
    <w:multiLevelType w:val="hybridMultilevel"/>
    <w:lvl w:ilvl="0">
      <w:start w:val="0"/>
      <w:numFmt w:val="bullet"/>
      <w:lvlText w:val="☐"/>
      <w:lvlJc w:val="left"/>
      <w:pPr>
        <w:ind w:left="280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7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924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5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5">
    <w:multiLevelType w:val="hybridMultilevel"/>
    <w:lvl w:ilvl="0">
      <w:start w:val="0"/>
      <w:numFmt w:val="bullet"/>
      <w:lvlText w:val="☐"/>
      <w:lvlJc w:val="left"/>
      <w:pPr>
        <w:ind w:left="280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54">
    <w:multiLevelType w:val="hybridMultilevel"/>
    <w:lvl w:ilvl="0">
      <w:start w:val="0"/>
      <w:numFmt w:val="bullet"/>
      <w:lvlText w:val="☐"/>
      <w:lvlJc w:val="left"/>
      <w:pPr>
        <w:ind w:left="322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9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4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0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41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40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9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7">
    <w:multiLevelType w:val="hybridMultilevel"/>
    <w:lvl w:ilvl="0">
      <w:start w:val="0"/>
      <w:numFmt w:val="bullet"/>
      <w:lvlText w:val="☐"/>
      <w:lvlJc w:val="left"/>
      <w:pPr>
        <w:ind w:left="3868" w:hanging="30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3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5">
    <w:multiLevelType w:val="hybridMultilevel"/>
    <w:lvl w:ilvl="0">
      <w:start w:val="0"/>
      <w:numFmt w:val="bullet"/>
      <w:lvlText w:val="☐"/>
      <w:lvlJc w:val="left"/>
      <w:pPr>
        <w:ind w:left="4039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☐"/>
      <w:lvlJc w:val="left"/>
      <w:pPr>
        <w:ind w:left="316" w:hanging="21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☐"/>
      <w:lvlJc w:val="left"/>
      <w:pPr>
        <w:ind w:left="4423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☐"/>
      <w:lvlJc w:val="left"/>
      <w:pPr>
        <w:ind w:left="302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☐"/>
      <w:lvlJc w:val="left"/>
      <w:pPr>
        <w:ind w:left="266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(%1)"/>
      <w:lvlJc w:val="left"/>
      <w:pPr>
        <w:ind w:left="2236" w:hanging="32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0">
    <w:multiLevelType w:val="hybridMultilevel"/>
    <w:lvl w:ilvl="0">
      <w:start w:val="2"/>
      <w:numFmt w:val="decimal"/>
      <w:lvlText w:val="(%1)"/>
      <w:lvlJc w:val="left"/>
      <w:pPr>
        <w:ind w:left="2236" w:hanging="34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num w:numId="209">
    <w:abstractNumId w:val="208"/>
  </w:num>
  <w:num w:numId="208">
    <w:abstractNumId w:val="207"/>
  </w:num>
  <w:num w:numId="207">
    <w:abstractNumId w:val="206"/>
  </w:num>
  <w:num w:numId="206">
    <w:abstractNumId w:val="205"/>
  </w:num>
  <w:num w:numId="205">
    <w:abstractNumId w:val="204"/>
  </w:num>
  <w:num w:numId="204">
    <w:abstractNumId w:val="203"/>
  </w:num>
  <w:num w:numId="203">
    <w:abstractNumId w:val="202"/>
  </w:num>
  <w:num w:numId="202">
    <w:abstractNumId w:val="201"/>
  </w:num>
  <w:num w:numId="201">
    <w:abstractNumId w:val="200"/>
  </w:num>
  <w:num w:numId="200">
    <w:abstractNumId w:val="199"/>
  </w:num>
  <w:num w:numId="199">
    <w:abstractNumId w:val="198"/>
  </w:num>
  <w:num w:numId="198">
    <w:abstractNumId w:val="197"/>
  </w:num>
  <w:num w:numId="197">
    <w:abstractNumId w:val="196"/>
  </w:num>
  <w:num w:numId="196">
    <w:abstractNumId w:val="195"/>
  </w:num>
  <w:num w:numId="195">
    <w:abstractNumId w:val="194"/>
  </w:num>
  <w:num w:numId="194">
    <w:abstractNumId w:val="193"/>
  </w:num>
  <w:num w:numId="193">
    <w:abstractNumId w:val="192"/>
  </w:num>
  <w:num w:numId="192">
    <w:abstractNumId w:val="191"/>
  </w:num>
  <w:num w:numId="191">
    <w:abstractNumId w:val="190"/>
  </w:num>
  <w:num w:numId="190">
    <w:abstractNumId w:val="189"/>
  </w:num>
  <w:num w:numId="189">
    <w:abstractNumId w:val="188"/>
  </w:num>
  <w:num w:numId="188">
    <w:abstractNumId w:val="187"/>
  </w:num>
  <w:num w:numId="187">
    <w:abstractNumId w:val="186"/>
  </w:num>
  <w:num w:numId="186">
    <w:abstractNumId w:val="185"/>
  </w:num>
  <w:num w:numId="185">
    <w:abstractNumId w:val="184"/>
  </w:num>
  <w:num w:numId="184">
    <w:abstractNumId w:val="183"/>
  </w:num>
  <w:num w:numId="183">
    <w:abstractNumId w:val="182"/>
  </w:num>
  <w:num w:numId="182">
    <w:abstractNumId w:val="181"/>
  </w:num>
  <w:num w:numId="181">
    <w:abstractNumId w:val="180"/>
  </w:num>
  <w:num w:numId="180">
    <w:abstractNumId w:val="179"/>
  </w:num>
  <w:num w:numId="179">
    <w:abstractNumId w:val="178"/>
  </w:num>
  <w:num w:numId="178">
    <w:abstractNumId w:val="177"/>
  </w:num>
  <w:num w:numId="177">
    <w:abstractNumId w:val="176"/>
  </w:num>
  <w:num w:numId="176">
    <w:abstractNumId w:val="175"/>
  </w:num>
  <w:num w:numId="175">
    <w:abstractNumId w:val="174"/>
  </w:num>
  <w:num w:numId="174">
    <w:abstractNumId w:val="173"/>
  </w:num>
  <w:num w:numId="173">
    <w:abstractNumId w:val="172"/>
  </w:num>
  <w:num w:numId="172">
    <w:abstractNumId w:val="171"/>
  </w:num>
  <w:num w:numId="171">
    <w:abstractNumId w:val="170"/>
  </w:num>
  <w:num w:numId="170">
    <w:abstractNumId w:val="169"/>
  </w:num>
  <w:num w:numId="169">
    <w:abstractNumId w:val="168"/>
  </w:num>
  <w:num w:numId="168">
    <w:abstractNumId w:val="167"/>
  </w:num>
  <w:num w:numId="167">
    <w:abstractNumId w:val="166"/>
  </w:num>
  <w:num w:numId="166">
    <w:abstractNumId w:val="165"/>
  </w:num>
  <w:num w:numId="165">
    <w:abstractNumId w:val="164"/>
  </w:num>
  <w:num w:numId="164">
    <w:abstractNumId w:val="163"/>
  </w:num>
  <w:num w:numId="163">
    <w:abstractNumId w:val="162"/>
  </w:num>
  <w:num w:numId="162">
    <w:abstractNumId w:val="161"/>
  </w:num>
  <w:num w:numId="161">
    <w:abstractNumId w:val="160"/>
  </w:num>
  <w:num w:numId="160">
    <w:abstractNumId w:val="159"/>
  </w:num>
  <w:num w:numId="159">
    <w:abstractNumId w:val="158"/>
  </w:num>
  <w:num w:numId="158">
    <w:abstractNumId w:val="157"/>
  </w:num>
  <w:num w:numId="157">
    <w:abstractNumId w:val="156"/>
  </w:num>
  <w:num w:numId="156">
    <w:abstractNumId w:val="155"/>
  </w:num>
  <w:num w:numId="155">
    <w:abstractNumId w:val="154"/>
  </w:num>
  <w:num w:numId="154">
    <w:abstractNumId w:val="153"/>
  </w:num>
  <w:num w:numId="153">
    <w:abstractNumId w:val="152"/>
  </w:num>
  <w:num w:numId="152">
    <w:abstractNumId w:val="151"/>
  </w:num>
  <w:num w:numId="151">
    <w:abstractNumId w:val="150"/>
  </w:num>
  <w:num w:numId="150">
    <w:abstractNumId w:val="149"/>
  </w:num>
  <w:num w:numId="149">
    <w:abstractNumId w:val="148"/>
  </w:num>
  <w:num w:numId="148">
    <w:abstractNumId w:val="147"/>
  </w:num>
  <w:num w:numId="147">
    <w:abstractNumId w:val="146"/>
  </w:num>
  <w:num w:numId="146">
    <w:abstractNumId w:val="145"/>
  </w:num>
  <w:num w:numId="145">
    <w:abstractNumId w:val="144"/>
  </w:num>
  <w:num w:numId="144">
    <w:abstractNumId w:val="143"/>
  </w:num>
  <w:num w:numId="143">
    <w:abstractNumId w:val="142"/>
  </w:num>
  <w:num w:numId="142">
    <w:abstractNumId w:val="141"/>
  </w:num>
  <w:num w:numId="141">
    <w:abstractNumId w:val="140"/>
  </w:num>
  <w:num w:numId="140">
    <w:abstractNumId w:val="139"/>
  </w:num>
  <w:num w:numId="139">
    <w:abstractNumId w:val="138"/>
  </w:num>
  <w:num w:numId="138">
    <w:abstractNumId w:val="137"/>
  </w:num>
  <w:num w:numId="137">
    <w:abstractNumId w:val="136"/>
  </w:num>
  <w:num w:numId="136">
    <w:abstractNumId w:val="135"/>
  </w:num>
  <w:num w:numId="135">
    <w:abstractNumId w:val="134"/>
  </w:num>
  <w:num w:numId="134">
    <w:abstractNumId w:val="133"/>
  </w:num>
  <w:num w:numId="133">
    <w:abstractNumId w:val="132"/>
  </w:num>
  <w:num w:numId="132">
    <w:abstractNumId w:val="131"/>
  </w:num>
  <w:num w:numId="131">
    <w:abstractNumId w:val="130"/>
  </w:num>
  <w:num w:numId="130">
    <w:abstractNumId w:val="129"/>
  </w:num>
  <w:num w:numId="129">
    <w:abstractNumId w:val="128"/>
  </w:num>
  <w:num w:numId="128">
    <w:abstractNumId w:val="127"/>
  </w:num>
  <w:num w:numId="127">
    <w:abstractNumId w:val="126"/>
  </w:num>
  <w:num w:numId="126">
    <w:abstractNumId w:val="125"/>
  </w:num>
  <w:num w:numId="125">
    <w:abstractNumId w:val="124"/>
  </w:num>
  <w:num w:numId="124">
    <w:abstractNumId w:val="123"/>
  </w:num>
  <w:num w:numId="123">
    <w:abstractNumId w:val="122"/>
  </w:num>
  <w:num w:numId="122">
    <w:abstractNumId w:val="121"/>
  </w:num>
  <w:num w:numId="121">
    <w:abstractNumId w:val="120"/>
  </w:num>
  <w:num w:numId="120">
    <w:abstractNumId w:val="119"/>
  </w:num>
  <w:num w:numId="119">
    <w:abstractNumId w:val="118"/>
  </w:num>
  <w:num w:numId="118">
    <w:abstractNumId w:val="117"/>
  </w:num>
  <w:num w:numId="117">
    <w:abstractNumId w:val="116"/>
  </w:num>
  <w:num w:numId="116">
    <w:abstractNumId w:val="115"/>
  </w:num>
  <w:num w:numId="115">
    <w:abstractNumId w:val="114"/>
  </w:num>
  <w:num w:numId="114">
    <w:abstractNumId w:val="113"/>
  </w:num>
  <w:num w:numId="113">
    <w:abstractNumId w:val="112"/>
  </w:num>
  <w:num w:numId="112">
    <w:abstractNumId w:val="111"/>
  </w:num>
  <w:num w:numId="111">
    <w:abstractNumId w:val="110"/>
  </w:num>
  <w:num w:numId="110">
    <w:abstractNumId w:val="109"/>
  </w:num>
  <w:num w:numId="109">
    <w:abstractNumId w:val="108"/>
  </w:num>
  <w:num w:numId="108">
    <w:abstractNumId w:val="107"/>
  </w:num>
  <w:num w:numId="107">
    <w:abstractNumId w:val="106"/>
  </w:num>
  <w:num w:numId="106">
    <w:abstractNumId w:val="105"/>
  </w:num>
  <w:num w:numId="105">
    <w:abstractNumId w:val="104"/>
  </w:num>
  <w:num w:numId="104">
    <w:abstractNumId w:val="103"/>
  </w:num>
  <w:num w:numId="103">
    <w:abstractNumId w:val="102"/>
  </w:num>
  <w:num w:numId="102">
    <w:abstractNumId w:val="101"/>
  </w:num>
  <w:num w:numId="101">
    <w:abstractNumId w:val="100"/>
  </w:num>
  <w:num w:numId="100">
    <w:abstractNumId w:val="99"/>
  </w:num>
  <w:num w:numId="99">
    <w:abstractNumId w:val="98"/>
  </w:num>
  <w:num w:numId="98">
    <w:abstractNumId w:val="97"/>
  </w:num>
  <w:num w:numId="97">
    <w:abstractNumId w:val="96"/>
  </w:num>
  <w:num w:numId="96">
    <w:abstractNumId w:val="95"/>
  </w:num>
  <w:num w:numId="95">
    <w:abstractNumId w:val="94"/>
  </w:num>
  <w:num w:numId="94">
    <w:abstractNumId w:val="93"/>
  </w:num>
  <w:num w:numId="93">
    <w:abstractNumId w:val="92"/>
  </w:num>
  <w:num w:numId="92">
    <w:abstractNumId w:val="91"/>
  </w:num>
  <w:num w:numId="91">
    <w:abstractNumId w:val="90"/>
  </w:num>
  <w:num w:numId="90">
    <w:abstractNumId w:val="89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9"/>
      <w:szCs w:val="19"/>
      <w:lang w:val="ro-RO" w:eastAsia="en-US" w:bidi="ar-SA"/>
    </w:rPr>
  </w:style>
  <w:style w:styleId="Heading1" w:type="paragraph">
    <w:name w:val="Heading 1"/>
    <w:basedOn w:val="Normal"/>
    <w:uiPriority w:val="1"/>
    <w:qFormat/>
    <w:pPr>
      <w:spacing w:before="255"/>
      <w:ind w:left="2949" w:right="2949"/>
      <w:jc w:val="center"/>
      <w:outlineLvl w:val="1"/>
    </w:pPr>
    <w:rPr>
      <w:rFonts w:ascii="Times New Roman" w:hAnsi="Times New Roman" w:eastAsia="Times New Roman" w:cs="Times New Roman"/>
      <w:b/>
      <w:bCs/>
      <w:sz w:val="33"/>
      <w:szCs w:val="33"/>
      <w:lang w:val="ro-RO" w:eastAsia="en-US" w:bidi="ar-SA"/>
    </w:rPr>
  </w:style>
  <w:style w:styleId="Heading2" w:type="paragraph">
    <w:name w:val="Heading 2"/>
    <w:basedOn w:val="Normal"/>
    <w:uiPriority w:val="1"/>
    <w:qFormat/>
    <w:pPr>
      <w:spacing w:before="137"/>
      <w:ind w:left="2949" w:right="2949"/>
      <w:jc w:val="center"/>
      <w:outlineLvl w:val="2"/>
    </w:pPr>
    <w:rPr>
      <w:rFonts w:ascii="Times New Roman" w:hAnsi="Times New Roman" w:eastAsia="Times New Roman" w:cs="Times New Roman"/>
      <w:b/>
      <w:bCs/>
      <w:sz w:val="29"/>
      <w:szCs w:val="29"/>
      <w:lang w:val="ro-RO" w:eastAsia="en-US" w:bidi="ar-SA"/>
    </w:rPr>
  </w:style>
  <w:style w:styleId="Heading3" w:type="paragraph">
    <w:name w:val="Heading 3"/>
    <w:basedOn w:val="Normal"/>
    <w:uiPriority w:val="1"/>
    <w:qFormat/>
    <w:pPr>
      <w:spacing w:before="256"/>
      <w:ind w:left="2949" w:right="2949"/>
      <w:jc w:val="center"/>
      <w:outlineLvl w:val="3"/>
    </w:pPr>
    <w:rPr>
      <w:rFonts w:ascii="Times New Roman" w:hAnsi="Times New Roman" w:eastAsia="Times New Roman" w:cs="Times New Roman"/>
      <w:b/>
      <w:bCs/>
      <w:sz w:val="27"/>
      <w:szCs w:val="27"/>
      <w:lang w:val="ro-RO" w:eastAsia="en-US" w:bidi="ar-SA"/>
    </w:rPr>
  </w:style>
  <w:style w:styleId="Heading4" w:type="paragraph">
    <w:name w:val="Heading 4"/>
    <w:basedOn w:val="Normal"/>
    <w:uiPriority w:val="1"/>
    <w:qFormat/>
    <w:pPr>
      <w:ind w:left="58" w:right="2949"/>
      <w:jc w:val="center"/>
      <w:outlineLvl w:val="4"/>
    </w:pPr>
    <w:rPr>
      <w:rFonts w:ascii="Times New Roman" w:hAnsi="Times New Roman" w:eastAsia="Times New Roman" w:cs="Times New Roman"/>
      <w:b/>
      <w:bCs/>
      <w:sz w:val="23"/>
      <w:szCs w:val="23"/>
      <w:lang w:val="ro-RO" w:eastAsia="en-US" w:bidi="ar-SA"/>
    </w:rPr>
  </w:style>
  <w:style w:styleId="Heading5" w:type="paragraph">
    <w:name w:val="Heading 5"/>
    <w:basedOn w:val="Normal"/>
    <w:uiPriority w:val="1"/>
    <w:qFormat/>
    <w:pPr>
      <w:ind w:left="1133"/>
      <w:outlineLvl w:val="5"/>
    </w:pPr>
    <w:rPr>
      <w:rFonts w:ascii="Times New Roman" w:hAnsi="Times New Roman" w:eastAsia="Times New Roman" w:cs="Times New Roman"/>
      <w:i/>
      <w:iCs/>
      <w:sz w:val="23"/>
      <w:szCs w:val="23"/>
      <w:u w:val="single" w:color="000000"/>
      <w:lang w:val="ro-RO" w:eastAsia="en-US" w:bidi="ar-SA"/>
    </w:rPr>
  </w:style>
  <w:style w:styleId="Heading6" w:type="paragraph">
    <w:name w:val="Heading 6"/>
    <w:basedOn w:val="Normal"/>
    <w:uiPriority w:val="1"/>
    <w:qFormat/>
    <w:pPr>
      <w:spacing w:line="228" w:lineRule="exact"/>
      <w:ind w:left="99"/>
      <w:jc w:val="center"/>
      <w:outlineLvl w:val="6"/>
    </w:pPr>
    <w:rPr>
      <w:rFonts w:ascii="Arial" w:hAnsi="Arial" w:eastAsia="Arial" w:cs="Arial"/>
      <w:b/>
      <w:bCs/>
      <w:sz w:val="20"/>
      <w:szCs w:val="20"/>
      <w:lang w:val="ro-RO" w:eastAsia="en-US" w:bidi="ar-SA"/>
    </w:rPr>
  </w:style>
  <w:style w:styleId="Heading7" w:type="paragraph">
    <w:name w:val="Heading 7"/>
    <w:basedOn w:val="Normal"/>
    <w:uiPriority w:val="1"/>
    <w:qFormat/>
    <w:pPr>
      <w:ind w:left="2949"/>
      <w:jc w:val="center"/>
      <w:outlineLvl w:val="7"/>
    </w:pPr>
    <w:rPr>
      <w:rFonts w:ascii="Times New Roman" w:hAnsi="Times New Roman" w:eastAsia="Times New Roman" w:cs="Times New Roman"/>
      <w:b/>
      <w:bCs/>
      <w:sz w:val="19"/>
      <w:szCs w:val="19"/>
      <w:lang w:val="ro-RO" w:eastAsia="en-US" w:bidi="ar-SA"/>
    </w:rPr>
  </w:style>
  <w:style w:styleId="Heading8" w:type="paragraph">
    <w:name w:val="Heading 8"/>
    <w:basedOn w:val="Normal"/>
    <w:uiPriority w:val="1"/>
    <w:qFormat/>
    <w:pPr>
      <w:ind w:left="1133"/>
      <w:outlineLvl w:val="8"/>
    </w:pPr>
    <w:rPr>
      <w:rFonts w:ascii="Arial" w:hAnsi="Arial" w:eastAsia="Arial" w:cs="Arial"/>
      <w:b/>
      <w:bCs/>
      <w:sz w:val="19"/>
      <w:szCs w:val="19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ind w:left="1132"/>
    </w:pPr>
    <w:rPr>
      <w:rFonts w:ascii="Arial MT" w:hAnsi="Arial MT" w:eastAsia="Arial MT" w:cs="Arial MT"/>
      <w:lang w:val="ro-RO" w:eastAsia="en-US" w:bidi="ar-SA"/>
    </w:rPr>
  </w:style>
  <w:style w:styleId="TableParagraph" w:type="paragraph">
    <w:name w:val="Table Paragraph"/>
    <w:basedOn w:val="Normal"/>
    <w:uiPriority w:val="1"/>
    <w:qFormat/>
    <w:pPr>
      <w:spacing w:before="5"/>
      <w:ind w:left="104"/>
    </w:pPr>
    <w:rPr>
      <w:rFonts w:ascii="Times New Roman" w:hAnsi="Times New Roman" w:eastAsia="Times New Roman" w:cs="Times New Roman"/>
      <w:lang w:val="ro-RO" w:eastAsia="en-US" w:bidi="ar-SA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egistrulcladirilor.gov.ro/" TargetMode="External"/><Relationship Id="rId144" Type="http://schemas.openxmlformats.org/officeDocument/2006/relationships/hyperlink" Target="mailto:marketing@ramo.ro" TargetMode="External"/><Relationship Id="rId145" Type="http://schemas.openxmlformats.org/officeDocument/2006/relationships/hyperlink" Target="http://www.monitoruloficial.ro/" TargetMode="External"/><Relationship Id="rId146" Type="http://schemas.openxmlformats.org/officeDocument/2006/relationships/hyperlink" Target="https://www.monitoruloficial.ro/" TargetMode="External"/><Relationship Id="rId155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2026-08-31T09:46:28Z</dcterms:created>
  <dcterms:modified xsi:type="dcterms:W3CDTF">2026-08-31T09:46:28Z</dcterms:modified>
  <dc:title>F_A_09</dc:title>
  <dc:creator>Ordinul MDLPA nr. 975/2026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2026-08-31T00:00:00Z</vt:filetime>
  </property>
</Properties>
</file>